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 w:after="20" w:line="240" w:lineRule="auto"/>
      </w:pPr>
      <w:r>
        <w:rPr>
          <w:rFonts w:ascii="Noto Serif" w:hAnsi="Noto Serif" w:eastAsia="Noto Serif"/>
          <w:b/>
          <w:i w:val="0"/>
          <w:color w:val="8A6A12"/>
          <w:sz w:val="18"/>
        </w:rPr>
        <w:t>CELERITY RESEARCH</w:t>
      </w:r>
    </w:p>
    <w:p>
      <w:pPr>
        <w:spacing w:before="40" w:after="0" w:line="240" w:lineRule="auto"/>
      </w:pPr>
      <w:r>
        <w:rPr>
          <w:rFonts w:ascii="Arimo" w:hAnsi="Arimo" w:eastAsia="Arimo"/>
          <w:b/>
          <w:i w:val="0"/>
          <w:color w:val="173F5F"/>
          <w:sz w:val="52"/>
        </w:rPr>
        <w:t>The Celerity Investment Framework</w:t>
      </w:r>
    </w:p>
    <w:p>
      <w:pPr>
        <w:spacing w:before="0" w:after="60" w:line="240" w:lineRule="auto"/>
        <w:pBdr>
          <w:bottom w:val="single" w:sz="9" w:space="2" w:color="173F5F"/>
        </w:pBdr>
      </w:pPr>
    </w:p>
    <w:p>
      <w:pPr>
        <w:spacing w:before="80" w:after="20" w:line="240" w:lineRule="auto"/>
      </w:pPr>
      <w:r>
        <w:rPr>
          <w:rFonts w:ascii="Noto Serif" w:hAnsi="Noto Serif" w:eastAsia="Noto Serif"/>
          <w:b w:val="0"/>
          <w:i w:val="0"/>
          <w:color w:val="444444"/>
          <w:sz w:val="32"/>
        </w:rPr>
        <w:t>Capability, Value and Portfolio Decision Under Uncertainty</w:t>
      </w:r>
    </w:p>
    <w:p>
      <w:pPr>
        <w:spacing w:before="0" w:after="100" w:line="240" w:lineRule="auto"/>
        <w:pBdr>
          <w:bottom w:val="single" w:sz="9" w:space="4" w:color="173F5F"/>
        </w:pBdr>
      </w:pPr>
    </w:p>
    <w:p>
      <w:pPr>
        <w:spacing w:before="80" w:after="0" w:line="240" w:lineRule="auto"/>
      </w:pPr>
      <w:r>
        <w:rPr>
          <w:rFonts w:ascii="Noto Serif" w:hAnsi="Noto Serif" w:eastAsia="Noto Serif"/>
          <w:b/>
          <w:i w:val="0"/>
          <w:color w:val="8A6A12"/>
          <w:sz w:val="17"/>
        </w:rPr>
        <w:t>RESEARCH FRAMEWORK | PUBLICATION EDITION v2.0 | SEPTEMBER 2026</w:t>
      </w:r>
    </w:p>
    <w:p>
      <w:pPr>
        <w:spacing w:before="0" w:after="160" w:line="240" w:lineRule="auto"/>
      </w:pPr>
      <w:r>
        <w:rPr>
          <w:rFonts w:ascii="Noto Serif" w:hAnsi="Noto Serif" w:eastAsia="Noto Serif"/>
          <w:b/>
          <w:i w:val="0"/>
          <w:color w:val="8A6A12"/>
          <w:sz w:val="16"/>
        </w:rPr>
        <w:t>FRAMEWORK: CELERITY INVESTMENT FRAMEWORK (CIF) | LONG-TERM INVESTMENT RESEARCH &amp; PORTFOLIO MANAGEMENT</w:t>
      </w:r>
    </w:p>
    <w:tbl>
      <w:tblPr>
        <w:tblW w:type="auto" w:w="0"/>
        <w:jc w:val="center"/>
        <w:tblLayout w:type="fixed"/>
        <w:tblLook w:firstColumn="1" w:firstRow="1" w:lastColumn="0" w:lastRow="0" w:noHBand="0" w:noVBand="1" w:val="04A0"/>
      </w:tblPr>
      <w:tblGrid>
        <w:gridCol w:w="2880"/>
        <w:gridCol w:w="7200"/>
      </w:tblGrid>
      <w:tr>
        <w:tc>
          <w:tcPr>
            <w:tcW w:type="dxa" w:w="5061"/>
            <w:shd w:fill="173F5F"/>
            <w:tcMar>
              <w:top w:w="100" w:type="dxa"/>
              <w:start w:w="110" w:type="dxa"/>
              <w:bottom w:w="100" w:type="dxa"/>
              <w:end w:w="110" w:type="dxa"/>
            </w:tcMar>
            <w:tcBorders>
              <w:top w:val="single" w:sz="2" w:color="D7DDE1"/>
              <w:left w:val="single" w:sz="2" w:color="D7DDE1"/>
              <w:bottom w:val="single" w:sz="2" w:color="D7DDE1"/>
              <w:right w:val="single" w:sz="2" w:color="D7DDE1"/>
            </w:tcBorders>
            <w:vAlign w:val="center"/>
          </w:tcPr>
          <w:p>
            <w:pPr>
              <w:spacing w:before="0" w:after="0" w:line="240" w:lineRule="auto"/>
            </w:pPr>
            <w:r>
              <w:rPr>
                <w:rFonts w:ascii="Noto Serif" w:hAnsi="Noto Serif" w:eastAsia="Noto Serif"/>
                <w:b w:val="0"/>
                <w:i/>
                <w:color w:val="FFFFFF"/>
                <w:sz w:val="18"/>
              </w:rPr>
              <w:t>Research purpose</w:t>
            </w:r>
          </w:p>
        </w:tc>
        <w:tc>
          <w:tcPr>
            <w:tcW w:type="dxa" w:w="5061"/>
            <w:shd w:fill="E9EDF0"/>
            <w:tcMar>
              <w:top w:w="100" w:type="dxa"/>
              <w:start w:w="110" w:type="dxa"/>
              <w:bottom w:w="100" w:type="dxa"/>
              <w:end w:w="110" w:type="dxa"/>
            </w:tcMar>
            <w:tcBorders>
              <w:top w:val="single" w:sz="2" w:color="D7DDE1"/>
              <w:left w:val="single" w:sz="2" w:color="D7DDE1"/>
              <w:bottom w:val="single" w:sz="2" w:color="D7DDE1"/>
              <w:right w:val="single" w:sz="2" w:color="D7DDE1"/>
            </w:tcBorders>
            <w:vAlign w:val="center"/>
          </w:tcPr>
          <w:p>
            <w:pPr>
              <w:spacing w:before="0" w:after="0" w:line="245" w:lineRule="auto"/>
            </w:pPr>
            <w:r>
              <w:rPr>
                <w:rFonts w:ascii="Noto Serif" w:hAnsi="Noto Serif" w:eastAsia="Noto Serif"/>
                <w:b/>
                <w:i w:val="0"/>
                <w:color w:val="202428"/>
                <w:sz w:val="18"/>
              </w:rPr>
              <w:t>Define the current canonical Celerity system from enterprise capability and external context through economic-engine architecture, economic confirmation, Financial Viability, capital-allocation closure, Shareholder Value Capture, valuation, portfolio construction, path-risk management and continuous evidence-based monitoring.</w:t>
            </w:r>
          </w:p>
        </w:tc>
      </w:tr>
    </w:tbl>
    <w:p>
      <w:pPr>
        <w:spacing w:before="0" w:after="80" w:line="240" w:lineRule="auto"/>
      </w:pPr>
    </w:p>
    <w:tbl>
      <w:tblPr>
        <w:tblW w:type="auto" w:w="0"/>
        <w:jc w:val="center"/>
        <w:tblLayout w:type="fixed"/>
        <w:tblLook w:firstColumn="1" w:firstRow="1" w:lastColumn="0" w:lastRow="0" w:noHBand="0" w:noVBand="1" w:val="04A0"/>
      </w:tblPr>
      <w:tblGrid>
        <w:gridCol w:w="2880"/>
        <w:gridCol w:w="7200"/>
      </w:tblGrid>
      <w:tr>
        <w:tc>
          <w:tcPr>
            <w:tcW w:type="dxa" w:w="5061"/>
            <w:shd w:fill="173F5F"/>
            <w:tcMar>
              <w:top w:w="100" w:type="dxa"/>
              <w:start w:w="110" w:type="dxa"/>
              <w:bottom w:w="100" w:type="dxa"/>
              <w:end w:w="110" w:type="dxa"/>
            </w:tcMar>
            <w:tcBorders>
              <w:top w:val="single" w:sz="2" w:color="D7DDE1"/>
              <w:left w:val="single" w:sz="2" w:color="D7DDE1"/>
              <w:bottom w:val="single" w:sz="2" w:color="D7DDE1"/>
              <w:right w:val="single" w:sz="2" w:color="D7DDE1"/>
            </w:tcBorders>
            <w:vAlign w:val="center"/>
          </w:tcPr>
          <w:p>
            <w:pPr>
              <w:spacing w:before="0" w:after="0" w:line="240" w:lineRule="auto"/>
            </w:pPr>
            <w:r>
              <w:rPr>
                <w:rFonts w:ascii="Noto Serif" w:hAnsi="Noto Serif" w:eastAsia="Noto Serif"/>
                <w:b w:val="0"/>
                <w:i/>
                <w:color w:val="FFFFFF"/>
                <w:sz w:val="18"/>
              </w:rPr>
              <w:t>Evidence discipline</w:t>
            </w:r>
          </w:p>
        </w:tc>
        <w:tc>
          <w:tcPr>
            <w:tcW w:type="dxa" w:w="5061"/>
            <w:shd w:fill="E9EDF0"/>
            <w:tcMar>
              <w:top w:w="100" w:type="dxa"/>
              <w:start w:w="110" w:type="dxa"/>
              <w:bottom w:w="100" w:type="dxa"/>
              <w:end w:w="110" w:type="dxa"/>
            </w:tcMar>
            <w:tcBorders>
              <w:top w:val="single" w:sz="2" w:color="D7DDE1"/>
              <w:left w:val="single" w:sz="2" w:color="D7DDE1"/>
              <w:bottom w:val="single" w:sz="2" w:color="D7DDE1"/>
              <w:right w:val="single" w:sz="2" w:color="D7DDE1"/>
            </w:tcBorders>
            <w:vAlign w:val="center"/>
          </w:tcPr>
          <w:p>
            <w:pPr>
              <w:spacing w:before="0" w:after="0" w:line="245" w:lineRule="auto"/>
            </w:pPr>
            <w:r>
              <w:rPr>
                <w:rFonts w:ascii="Noto Serif" w:hAnsi="Noto Serif" w:eastAsia="Noto Serif"/>
                <w:b/>
                <w:i w:val="0"/>
                <w:color w:val="202428"/>
                <w:sz w:val="18"/>
              </w:rPr>
              <w:t>Separate source-derived facts, controlled assumptions and Celerity analytical inferences. Preserve point-in-time evidence and contradictions rather than rewriting history.</w:t>
            </w:r>
          </w:p>
        </w:tc>
      </w:tr>
    </w:tbl>
    <w:p>
      <w:pPr>
        <w:spacing w:before="0" w:after="80" w:line="240" w:lineRule="auto"/>
      </w:pPr>
    </w:p>
    <w:tbl>
      <w:tblPr>
        <w:tblW w:type="auto" w:w="0"/>
        <w:jc w:val="center"/>
        <w:tblLayout w:type="fixed"/>
        <w:tblLook w:firstColumn="1" w:firstRow="1" w:lastColumn="0" w:lastRow="0" w:noHBand="0" w:noVBand="1" w:val="04A0"/>
      </w:tblPr>
      <w:tblGrid>
        <w:gridCol w:w="2880"/>
        <w:gridCol w:w="7200"/>
      </w:tblGrid>
      <w:tr>
        <w:tc>
          <w:tcPr>
            <w:tcW w:type="dxa" w:w="5061"/>
            <w:shd w:fill="173F5F"/>
            <w:tcMar>
              <w:top w:w="100" w:type="dxa"/>
              <w:start w:w="110" w:type="dxa"/>
              <w:bottom w:w="100" w:type="dxa"/>
              <w:end w:w="110" w:type="dxa"/>
            </w:tcMar>
            <w:tcBorders>
              <w:top w:val="single" w:sz="2" w:color="D7DDE1"/>
              <w:left w:val="single" w:sz="2" w:color="D7DDE1"/>
              <w:bottom w:val="single" w:sz="2" w:color="D7DDE1"/>
              <w:right w:val="single" w:sz="2" w:color="D7DDE1"/>
            </w:tcBorders>
            <w:vAlign w:val="center"/>
          </w:tcPr>
          <w:p>
            <w:pPr>
              <w:spacing w:before="0" w:after="0" w:line="240" w:lineRule="auto"/>
            </w:pPr>
            <w:r>
              <w:rPr>
                <w:rFonts w:ascii="Noto Serif" w:hAnsi="Noto Serif" w:eastAsia="Noto Serif"/>
                <w:b w:val="0"/>
                <w:i/>
                <w:color w:val="FFFFFF"/>
                <w:sz w:val="18"/>
              </w:rPr>
              <w:t>Publication control</w:t>
            </w:r>
          </w:p>
        </w:tc>
        <w:tc>
          <w:tcPr>
            <w:tcW w:type="dxa" w:w="5061"/>
            <w:shd w:fill="E9EDF0"/>
            <w:tcMar>
              <w:top w:w="100" w:type="dxa"/>
              <w:start w:w="110" w:type="dxa"/>
              <w:bottom w:w="100" w:type="dxa"/>
              <w:end w:w="110" w:type="dxa"/>
            </w:tcMar>
            <w:tcBorders>
              <w:top w:val="single" w:sz="2" w:color="D7DDE1"/>
              <w:left w:val="single" w:sz="2" w:color="D7DDE1"/>
              <w:bottom w:val="single" w:sz="2" w:color="D7DDE1"/>
              <w:right w:val="single" w:sz="2" w:color="D7DDE1"/>
            </w:tcBorders>
            <w:vAlign w:val="center"/>
          </w:tcPr>
          <w:p>
            <w:pPr>
              <w:spacing w:before="0" w:after="0" w:line="245" w:lineRule="auto"/>
            </w:pPr>
            <w:r>
              <w:rPr>
                <w:rFonts w:ascii="Noto Serif" w:hAnsi="Noto Serif" w:eastAsia="Noto Serif"/>
                <w:b/>
                <w:i w:val="0"/>
                <w:color w:val="202428"/>
                <w:sz w:val="18"/>
              </w:rPr>
              <w:t>This paper supersedes Publication Edition v1.2 as the current CIF. CIF remains the master investment decision architecture and references the controlled Company Agent Architecture, CPSR and CMVTR publications at their interfaces. General research only; not personal financial advice.</w:t>
            </w:r>
          </w:p>
        </w:tc>
      </w:tr>
    </w:tbl>
    <w:p>
      <w:pPr>
        <w:spacing w:before="0" w:after="80" w:line="240" w:lineRule="auto"/>
      </w:pPr>
    </w:p>
    <w:p>
      <w:pPr>
        <w:spacing w:before="80" w:after="0" w:line="240" w:lineRule="auto"/>
      </w:pPr>
      <w:r>
        <w:rPr>
          <w:rFonts w:ascii="Noto Serif" w:hAnsi="Noto Serif" w:eastAsia="Noto Serif"/>
          <w:b w:val="0"/>
          <w:i/>
          <w:color w:val="424242"/>
          <w:sz w:val="20"/>
        </w:rPr>
        <w:t>Celerity Investments  |  Celerity Research</w:t>
      </w:r>
    </w:p>
    <w:p>
      <w:r>
        <w:br w:type="page"/>
      </w:r>
    </w:p>
    <w:p>
      <w:pPr>
        <w:pStyle w:val="Heading1"/>
      </w:pPr>
      <w:r>
        <w:rPr>
          <w:rFonts w:ascii="Arimo" w:hAnsi="Arimo" w:eastAsia="Arimo"/>
          <w:b/>
          <w:i w:val="0"/>
          <w:color w:val="173F5F"/>
          <w:sz w:val="33"/>
        </w:rPr>
        <w:t>Contents</w:t>
      </w:r>
    </w:p>
    <w:p>
      <w:pPr>
        <w:spacing w:before="0" w:after="7" w:line="230" w:lineRule="auto"/>
      </w:pPr>
      <w:r>
        <w:rPr>
          <w:rFonts w:ascii="Noto Serif" w:hAnsi="Noto Serif" w:eastAsia="Noto Serif"/>
          <w:b w:val="0"/>
          <w:i w:val="0"/>
          <w:color w:val="202428"/>
          <w:sz w:val="16"/>
        </w:rPr>
        <w:t>Abstract</w:t>
      </w:r>
    </w:p>
    <w:p>
      <w:pPr>
        <w:spacing w:before="0" w:after="7" w:line="230" w:lineRule="auto"/>
      </w:pPr>
      <w:r>
        <w:rPr>
          <w:rFonts w:ascii="Noto Serif" w:hAnsi="Noto Serif" w:eastAsia="Noto Serif"/>
          <w:b w:val="0"/>
          <w:i w:val="0"/>
          <w:color w:val="202428"/>
          <w:sz w:val="16"/>
        </w:rPr>
        <w:t>Executive Summary</w:t>
      </w:r>
    </w:p>
    <w:p>
      <w:pPr>
        <w:spacing w:before="0" w:after="7" w:line="230" w:lineRule="auto"/>
      </w:pPr>
      <w:r>
        <w:rPr>
          <w:rFonts w:ascii="Arimo" w:hAnsi="Arimo" w:eastAsia="Arimo"/>
          <w:b/>
          <w:i w:val="0"/>
          <w:color w:val="173F5F"/>
          <w:sz w:val="17"/>
        </w:rPr>
        <w:t>Part I - Purpose and first principles</w:t>
      </w:r>
    </w:p>
    <w:p>
      <w:pPr>
        <w:spacing w:before="0" w:after="7" w:line="230" w:lineRule="auto"/>
      </w:pPr>
      <w:r>
        <w:rPr>
          <w:rFonts w:ascii="Noto Serif" w:hAnsi="Noto Serif" w:eastAsia="Noto Serif"/>
          <w:b w:val="0"/>
          <w:i w:val="0"/>
          <w:color w:val="202428"/>
          <w:sz w:val="16"/>
        </w:rPr>
        <w:t>1. What the framework is designed to do</w:t>
      </w:r>
    </w:p>
    <w:p>
      <w:pPr>
        <w:spacing w:before="0" w:after="7" w:line="230" w:lineRule="auto"/>
      </w:pPr>
      <w:r>
        <w:rPr>
          <w:rFonts w:ascii="Noto Serif" w:hAnsi="Noto Serif" w:eastAsia="Noto Serif"/>
          <w:b w:val="0"/>
          <w:i w:val="0"/>
          <w:color w:val="202428"/>
          <w:sz w:val="16"/>
        </w:rPr>
        <w:t>2. The core investment question</w:t>
      </w:r>
    </w:p>
    <w:p>
      <w:pPr>
        <w:spacing w:before="0" w:after="7" w:line="230" w:lineRule="auto"/>
      </w:pPr>
      <w:r>
        <w:rPr>
          <w:rFonts w:ascii="Noto Serif" w:hAnsi="Noto Serif" w:eastAsia="Noto Serif"/>
          <w:b w:val="0"/>
          <w:i w:val="0"/>
          <w:color w:val="202428"/>
          <w:sz w:val="16"/>
        </w:rPr>
        <w:t>3. Seven operating principles</w:t>
      </w:r>
    </w:p>
    <w:p>
      <w:pPr>
        <w:spacing w:before="0" w:after="7" w:line="230" w:lineRule="auto"/>
      </w:pPr>
      <w:r>
        <w:rPr>
          <w:rFonts w:ascii="Arimo" w:hAnsi="Arimo" w:eastAsia="Arimo"/>
          <w:b/>
          <w:i w:val="0"/>
          <w:color w:val="173F5F"/>
          <w:sz w:val="17"/>
        </w:rPr>
        <w:t>Part II - The architecture</w:t>
      </w:r>
    </w:p>
    <w:p>
      <w:pPr>
        <w:spacing w:before="0" w:after="7" w:line="230" w:lineRule="auto"/>
      </w:pPr>
      <w:r>
        <w:rPr>
          <w:rFonts w:ascii="Noto Serif" w:hAnsi="Noto Serif" w:eastAsia="Noto Serif"/>
          <w:b w:val="0"/>
          <w:i w:val="0"/>
          <w:color w:val="202428"/>
          <w:sz w:val="16"/>
        </w:rPr>
        <w:t>4. External context</w:t>
      </w:r>
    </w:p>
    <w:p>
      <w:pPr>
        <w:spacing w:before="0" w:after="7" w:line="230" w:lineRule="auto"/>
      </w:pPr>
      <w:r>
        <w:rPr>
          <w:rFonts w:ascii="Noto Serif" w:hAnsi="Noto Serif" w:eastAsia="Noto Serif"/>
          <w:b w:val="0"/>
          <w:i w:val="0"/>
          <w:color w:val="202428"/>
          <w:sz w:val="16"/>
        </w:rPr>
        <w:t>5. Capability Science as the leading-indicator engine</w:t>
      </w:r>
    </w:p>
    <w:p>
      <w:pPr>
        <w:spacing w:before="0" w:after="7" w:line="230" w:lineRule="auto"/>
      </w:pPr>
      <w:r>
        <w:rPr>
          <w:rFonts w:ascii="Noto Serif" w:hAnsi="Noto Serif" w:eastAsia="Noto Serif"/>
          <w:b w:val="0"/>
          <w:i w:val="0"/>
          <w:color w:val="202428"/>
          <w:sz w:val="16"/>
        </w:rPr>
        <w:t>6. Economic Engine Architecture and the Company Agent</w:t>
      </w:r>
    </w:p>
    <w:p>
      <w:pPr>
        <w:spacing w:before="0" w:after="7" w:line="230" w:lineRule="auto"/>
      </w:pPr>
      <w:r>
        <w:rPr>
          <w:rFonts w:ascii="Noto Serif" w:hAnsi="Noto Serif" w:eastAsia="Noto Serif"/>
          <w:b w:val="0"/>
          <w:i w:val="0"/>
          <w:color w:val="202428"/>
          <w:sz w:val="16"/>
        </w:rPr>
        <w:t>7. The ten frozen Economic Engine Modules</w:t>
      </w:r>
    </w:p>
    <w:p>
      <w:pPr>
        <w:spacing w:before="0" w:after="7" w:line="230" w:lineRule="auto"/>
      </w:pPr>
      <w:r>
        <w:rPr>
          <w:rFonts w:ascii="Noto Serif" w:hAnsi="Noto Serif" w:eastAsia="Noto Serif"/>
          <w:b w:val="0"/>
          <w:i w:val="0"/>
          <w:color w:val="202428"/>
          <w:sz w:val="16"/>
        </w:rPr>
        <w:t>8. The Celerity policy scorecard</w:t>
      </w:r>
    </w:p>
    <w:p>
      <w:pPr>
        <w:spacing w:before="0" w:after="7" w:line="230" w:lineRule="auto"/>
      </w:pPr>
      <w:r>
        <w:rPr>
          <w:rFonts w:ascii="Noto Serif" w:hAnsi="Noto Serif" w:eastAsia="Noto Serif"/>
          <w:b w:val="0"/>
          <w:i w:val="0"/>
          <w:color w:val="202428"/>
          <w:sz w:val="16"/>
        </w:rPr>
        <w:t>9. Capability-to-economics transmission</w:t>
      </w:r>
    </w:p>
    <w:p>
      <w:pPr>
        <w:spacing w:before="0" w:after="7" w:line="230" w:lineRule="auto"/>
      </w:pPr>
      <w:r>
        <w:rPr>
          <w:rFonts w:ascii="Noto Serif" w:hAnsi="Noto Serif" w:eastAsia="Noto Serif"/>
          <w:b w:val="0"/>
          <w:i w:val="0"/>
          <w:color w:val="202428"/>
          <w:sz w:val="16"/>
        </w:rPr>
        <w:t>10. Financial Viability</w:t>
      </w:r>
    </w:p>
    <w:p>
      <w:pPr>
        <w:spacing w:before="0" w:after="7" w:line="230" w:lineRule="auto"/>
      </w:pPr>
      <w:r>
        <w:rPr>
          <w:rFonts w:ascii="Noto Serif" w:hAnsi="Noto Serif" w:eastAsia="Noto Serif"/>
          <w:b w:val="0"/>
          <w:i w:val="0"/>
          <w:color w:val="202428"/>
          <w:sz w:val="16"/>
        </w:rPr>
        <w:t>11. Capital-allocation closure</w:t>
      </w:r>
    </w:p>
    <w:p>
      <w:pPr>
        <w:spacing w:before="0" w:after="7" w:line="230" w:lineRule="auto"/>
      </w:pPr>
      <w:r>
        <w:rPr>
          <w:rFonts w:ascii="Noto Serif" w:hAnsi="Noto Serif" w:eastAsia="Noto Serif"/>
          <w:b w:val="0"/>
          <w:i w:val="0"/>
          <w:color w:val="202428"/>
          <w:sz w:val="16"/>
        </w:rPr>
        <w:t>12. Shareholder Value Capture</w:t>
      </w:r>
    </w:p>
    <w:p>
      <w:pPr>
        <w:spacing w:before="0" w:after="7" w:line="230" w:lineRule="auto"/>
      </w:pPr>
      <w:r>
        <w:rPr>
          <w:rFonts w:ascii="Noto Serif" w:hAnsi="Noto Serif" w:eastAsia="Noto Serif"/>
          <w:b w:val="0"/>
          <w:i w:val="0"/>
          <w:color w:val="202428"/>
          <w:sz w:val="16"/>
        </w:rPr>
        <w:t>13. Valuation is a state, not a clock</w:t>
      </w:r>
    </w:p>
    <w:p>
      <w:pPr>
        <w:spacing w:before="0" w:after="7" w:line="230" w:lineRule="auto"/>
      </w:pPr>
      <w:r>
        <w:rPr>
          <w:rFonts w:ascii="Noto Serif" w:hAnsi="Noto Serif" w:eastAsia="Noto Serif"/>
          <w:b w:val="0"/>
          <w:i w:val="0"/>
          <w:color w:val="202428"/>
          <w:sz w:val="16"/>
        </w:rPr>
        <w:t>14. Decision Risk Overlay</w:t>
      </w:r>
    </w:p>
    <w:p>
      <w:pPr>
        <w:spacing w:before="0" w:after="7" w:line="230" w:lineRule="auto"/>
      </w:pPr>
      <w:r>
        <w:rPr>
          <w:rFonts w:ascii="Arimo" w:hAnsi="Arimo" w:eastAsia="Arimo"/>
          <w:b/>
          <w:i w:val="0"/>
          <w:color w:val="173F5F"/>
          <w:sz w:val="17"/>
        </w:rPr>
        <w:t>Part III - Portfolio, resilience and path risk</w:t>
      </w:r>
    </w:p>
    <w:p>
      <w:pPr>
        <w:spacing w:before="0" w:after="7" w:line="230" w:lineRule="auto"/>
      </w:pPr>
      <w:r>
        <w:rPr>
          <w:rFonts w:ascii="Noto Serif" w:hAnsi="Noto Serif" w:eastAsia="Noto Serif"/>
          <w:b w:val="0"/>
          <w:i w:val="0"/>
          <w:color w:val="202428"/>
          <w:sz w:val="16"/>
        </w:rPr>
        <w:t>15. Portfolio construction</w:t>
      </w:r>
    </w:p>
    <w:p>
      <w:pPr>
        <w:spacing w:before="0" w:after="7" w:line="230" w:lineRule="auto"/>
      </w:pPr>
      <w:r>
        <w:rPr>
          <w:rFonts w:ascii="Noto Serif" w:hAnsi="Noto Serif" w:eastAsia="Noto Serif"/>
          <w:b w:val="0"/>
          <w:i w:val="0"/>
          <w:color w:val="202428"/>
          <w:sz w:val="16"/>
        </w:rPr>
        <w:t>16. Celerity Portfolio State &amp; Resilience Research (CPSR)</w:t>
      </w:r>
    </w:p>
    <w:p>
      <w:pPr>
        <w:spacing w:before="0" w:after="7" w:line="230" w:lineRule="auto"/>
      </w:pPr>
      <w:r>
        <w:rPr>
          <w:rFonts w:ascii="Noto Serif" w:hAnsi="Noto Serif" w:eastAsia="Noto Serif"/>
          <w:b w:val="0"/>
          <w:i w:val="0"/>
          <w:color w:val="202428"/>
          <w:sz w:val="16"/>
        </w:rPr>
        <w:t>17. Valuation, Volatility and the Price of Protection (CMVTR)</w:t>
      </w:r>
    </w:p>
    <w:p>
      <w:pPr>
        <w:spacing w:before="0" w:after="7" w:line="230" w:lineRule="auto"/>
      </w:pPr>
      <w:r>
        <w:rPr>
          <w:rFonts w:ascii="Noto Serif" w:hAnsi="Noto Serif" w:eastAsia="Noto Serif"/>
          <w:b w:val="0"/>
          <w:i w:val="0"/>
          <w:color w:val="202428"/>
          <w:sz w:val="16"/>
        </w:rPr>
        <w:t>18. Controlled interfaces</w:t>
      </w:r>
    </w:p>
    <w:p>
      <w:pPr>
        <w:spacing w:before="0" w:after="7" w:line="230" w:lineRule="auto"/>
      </w:pPr>
      <w:r>
        <w:rPr>
          <w:rFonts w:ascii="Arimo" w:hAnsi="Arimo" w:eastAsia="Arimo"/>
          <w:b/>
          <w:i w:val="0"/>
          <w:color w:val="173F5F"/>
          <w:sz w:val="17"/>
        </w:rPr>
        <w:t>Part IV - Evidence and robustness</w:t>
      </w:r>
    </w:p>
    <w:p>
      <w:pPr>
        <w:spacing w:before="0" w:after="7" w:line="230" w:lineRule="auto"/>
      </w:pPr>
      <w:r>
        <w:rPr>
          <w:rFonts w:ascii="Noto Serif" w:hAnsi="Noto Serif" w:eastAsia="Noto Serif"/>
          <w:b w:val="0"/>
          <w:i w:val="0"/>
          <w:color w:val="202428"/>
          <w:sz w:val="16"/>
        </w:rPr>
        <w:t>19. Evidence hierarchy and analytical firewalls</w:t>
      </w:r>
    </w:p>
    <w:p>
      <w:pPr>
        <w:spacing w:before="0" w:after="7" w:line="230" w:lineRule="auto"/>
      </w:pPr>
      <w:r>
        <w:rPr>
          <w:rFonts w:ascii="Noto Serif" w:hAnsi="Noto Serif" w:eastAsia="Noto Serif"/>
          <w:b w:val="0"/>
          <w:i w:val="0"/>
          <w:color w:val="202428"/>
          <w:sz w:val="16"/>
        </w:rPr>
        <w:t>20. Historical paired-company research</w:t>
      </w:r>
    </w:p>
    <w:p>
      <w:pPr>
        <w:spacing w:before="0" w:after="7" w:line="230" w:lineRule="auto"/>
      </w:pPr>
      <w:r>
        <w:rPr>
          <w:rFonts w:ascii="Noto Serif" w:hAnsi="Noto Serif" w:eastAsia="Noto Serif"/>
          <w:b w:val="0"/>
          <w:i w:val="0"/>
          <w:color w:val="202428"/>
          <w:sz w:val="16"/>
        </w:rPr>
        <w:t>21. Contemporary cross-context calibration</w:t>
      </w:r>
    </w:p>
    <w:p>
      <w:pPr>
        <w:spacing w:before="0" w:after="7" w:line="230" w:lineRule="auto"/>
      </w:pPr>
      <w:r>
        <w:rPr>
          <w:rFonts w:ascii="Noto Serif" w:hAnsi="Noto Serif" w:eastAsia="Noto Serif"/>
          <w:b w:val="0"/>
          <w:i w:val="0"/>
          <w:color w:val="202428"/>
          <w:sz w:val="16"/>
        </w:rPr>
        <w:t>22. Stable policy weights, frozen engines, adaptive states</w:t>
      </w:r>
    </w:p>
    <w:p>
      <w:pPr>
        <w:spacing w:before="0" w:after="7" w:line="230" w:lineRule="auto"/>
      </w:pPr>
      <w:r>
        <w:rPr>
          <w:rFonts w:ascii="Noto Serif" w:hAnsi="Noto Serif" w:eastAsia="Noto Serif"/>
          <w:b w:val="0"/>
          <w:i w:val="0"/>
          <w:color w:val="202428"/>
          <w:sz w:val="16"/>
        </w:rPr>
        <w:t>23. Evidence, design and hypothesis</w:t>
      </w:r>
    </w:p>
    <w:p>
      <w:pPr>
        <w:spacing w:before="0" w:after="7" w:line="230" w:lineRule="auto"/>
      </w:pPr>
      <w:r>
        <w:rPr>
          <w:rFonts w:ascii="Arimo" w:hAnsi="Arimo" w:eastAsia="Arimo"/>
          <w:b/>
          <w:i w:val="0"/>
          <w:color w:val="173F5F"/>
          <w:sz w:val="17"/>
        </w:rPr>
        <w:t>Part V - Implementation in practice</w:t>
      </w:r>
    </w:p>
    <w:p>
      <w:pPr>
        <w:spacing w:before="0" w:after="7" w:line="230" w:lineRule="auto"/>
      </w:pPr>
      <w:r>
        <w:rPr>
          <w:rFonts w:ascii="Noto Serif" w:hAnsi="Noto Serif" w:eastAsia="Noto Serif"/>
          <w:b w:val="0"/>
          <w:i w:val="0"/>
          <w:color w:val="202428"/>
          <w:sz w:val="16"/>
        </w:rPr>
        <w:t>24. Coverage initiation</w:t>
      </w:r>
    </w:p>
    <w:p>
      <w:pPr>
        <w:spacing w:before="0" w:after="7" w:line="230" w:lineRule="auto"/>
      </w:pPr>
      <w:r>
        <w:rPr>
          <w:rFonts w:ascii="Noto Serif" w:hAnsi="Noto Serif" w:eastAsia="Noto Serif"/>
          <w:b w:val="0"/>
          <w:i w:val="0"/>
          <w:color w:val="202428"/>
          <w:sz w:val="16"/>
        </w:rPr>
        <w:t>25. Canonical Company Agent State File</w:t>
      </w:r>
    </w:p>
    <w:p>
      <w:pPr>
        <w:spacing w:before="0" w:after="7" w:line="230" w:lineRule="auto"/>
      </w:pPr>
      <w:r>
        <w:rPr>
          <w:rFonts w:ascii="Noto Serif" w:hAnsi="Noto Serif" w:eastAsia="Noto Serif"/>
          <w:b w:val="0"/>
          <w:i w:val="0"/>
          <w:color w:val="202428"/>
          <w:sz w:val="16"/>
        </w:rPr>
        <w:t>26. Monitoring and evidence ledger</w:t>
      </w:r>
    </w:p>
    <w:p>
      <w:pPr>
        <w:spacing w:before="0" w:after="7" w:line="230" w:lineRule="auto"/>
      </w:pPr>
      <w:r>
        <w:rPr>
          <w:rFonts w:ascii="Noto Serif" w:hAnsi="Noto Serif" w:eastAsia="Noto Serif"/>
          <w:b w:val="0"/>
          <w:i w:val="0"/>
          <w:color w:val="202428"/>
          <w:sz w:val="16"/>
        </w:rPr>
        <w:t>27. Baseline to State Delta</w:t>
      </w:r>
    </w:p>
    <w:p>
      <w:pPr>
        <w:spacing w:before="0" w:after="7" w:line="230" w:lineRule="auto"/>
      </w:pPr>
      <w:r>
        <w:rPr>
          <w:rFonts w:ascii="Noto Serif" w:hAnsi="Noto Serif" w:eastAsia="Noto Serif"/>
          <w:b w:val="0"/>
          <w:i w:val="0"/>
          <w:color w:val="202428"/>
          <w:sz w:val="16"/>
        </w:rPr>
        <w:t>28. Review cadence</w:t>
      </w:r>
    </w:p>
    <w:p>
      <w:pPr>
        <w:spacing w:before="0" w:after="7" w:line="230" w:lineRule="auto"/>
      </w:pPr>
      <w:r>
        <w:rPr>
          <w:rFonts w:ascii="Noto Serif" w:hAnsi="Noto Serif" w:eastAsia="Noto Serif"/>
          <w:b w:val="0"/>
          <w:i w:val="0"/>
          <w:color w:val="202428"/>
          <w:sz w:val="16"/>
        </w:rPr>
        <w:t>29. Company-specific publications</w:t>
      </w:r>
    </w:p>
    <w:p>
      <w:pPr>
        <w:spacing w:before="0" w:after="7" w:line="230" w:lineRule="auto"/>
      </w:pPr>
      <w:r>
        <w:rPr>
          <w:rFonts w:ascii="Noto Serif" w:hAnsi="Noto Serif" w:eastAsia="Noto Serif"/>
          <w:b w:val="0"/>
          <w:i w:val="0"/>
          <w:color w:val="202428"/>
          <w:sz w:val="16"/>
        </w:rPr>
        <w:t>30. Event-driven review</w:t>
      </w:r>
    </w:p>
    <w:p>
      <w:pPr>
        <w:spacing w:before="0" w:after="7" w:line="230" w:lineRule="auto"/>
      </w:pPr>
      <w:r>
        <w:rPr>
          <w:rFonts w:ascii="Noto Serif" w:hAnsi="Noto Serif" w:eastAsia="Noto Serif"/>
          <w:b w:val="0"/>
          <w:i w:val="0"/>
          <w:color w:val="202428"/>
          <w:sz w:val="16"/>
        </w:rPr>
        <w:t>31. Portfolio, CPSR and CMVTR review</w:t>
      </w:r>
    </w:p>
    <w:p>
      <w:pPr>
        <w:spacing w:before="0" w:after="7" w:line="230" w:lineRule="auto"/>
      </w:pPr>
      <w:r>
        <w:rPr>
          <w:rFonts w:ascii="Noto Serif" w:hAnsi="Noto Serif" w:eastAsia="Noto Serif"/>
          <w:b w:val="0"/>
          <w:i w:val="0"/>
          <w:color w:val="202428"/>
          <w:sz w:val="16"/>
        </w:rPr>
        <w:t>32. Version control and governance</w:t>
      </w:r>
    </w:p>
    <w:p>
      <w:pPr>
        <w:spacing w:before="30" w:after="24" w:line="230" w:lineRule="auto"/>
      </w:pPr>
      <w:r>
        <w:rPr>
          <w:rFonts w:ascii="Noto Serif" w:hAnsi="Noto Serif" w:eastAsia="Noto Serif"/>
          <w:b/>
          <w:i w:val="0"/>
          <w:color w:val="8A6A12"/>
          <w:sz w:val="14"/>
        </w:rPr>
        <w:t xml:space="preserve">Publication preservation rule. </w:t>
      </w:r>
      <w:r>
        <w:rPr>
          <w:rFonts w:ascii="Noto Serif" w:hAnsi="Noto Serif" w:eastAsia="Noto Serif"/>
          <w:b w:val="0"/>
          <w:i w:val="0"/>
          <w:color w:val="202428"/>
          <w:sz w:val="14"/>
        </w:rPr>
        <w:t>The latest controlling Celerity publication is the structural and visual master for any upgrade. An upgrade is an in-place controlled revision, not a rewrite. Existing diagrams, layout hierarchy, prose depth, references and publication controls are preserved unless a documented change is required. Every acronym is written in full at first use, with the acronym immediately afterward in brackets.</w:t>
      </w:r>
    </w:p>
    <w:p>
      <w:pPr>
        <w:spacing w:before="0" w:after="7" w:line="230" w:lineRule="auto"/>
      </w:pPr>
      <w:r>
        <w:rPr>
          <w:rFonts w:ascii="Arimo" w:hAnsi="Arimo" w:eastAsia="Arimo"/>
          <w:b/>
          <w:i w:val="0"/>
          <w:color w:val="173F5F"/>
          <w:sz w:val="17"/>
        </w:rPr>
        <w:t>Part VI - A scalable research system</w:t>
      </w:r>
    </w:p>
    <w:p>
      <w:pPr>
        <w:spacing w:before="0" w:after="7" w:line="230" w:lineRule="auto"/>
      </w:pPr>
      <w:r>
        <w:rPr>
          <w:rFonts w:ascii="Noto Serif" w:hAnsi="Noto Serif" w:eastAsia="Noto Serif"/>
          <w:b w:val="0"/>
          <w:i w:val="0"/>
          <w:color w:val="202428"/>
          <w:sz w:val="16"/>
        </w:rPr>
        <w:t>33. Standard outputs</w:t>
      </w:r>
    </w:p>
    <w:p>
      <w:pPr>
        <w:spacing w:before="0" w:after="7" w:line="230" w:lineRule="auto"/>
      </w:pPr>
      <w:r>
        <w:rPr>
          <w:rFonts w:ascii="Noto Serif" w:hAnsi="Noto Serif" w:eastAsia="Noto Serif"/>
          <w:b w:val="0"/>
          <w:i w:val="0"/>
          <w:color w:val="202428"/>
          <w:sz w:val="16"/>
        </w:rPr>
        <w:t>34. Commercial robustness without product dependence</w:t>
      </w:r>
    </w:p>
    <w:p>
      <w:pPr>
        <w:spacing w:before="0" w:after="7" w:line="230" w:lineRule="auto"/>
      </w:pPr>
      <w:r>
        <w:rPr>
          <w:rFonts w:ascii="Noto Serif" w:hAnsi="Noto Serif" w:eastAsia="Noto Serif"/>
          <w:b w:val="0"/>
          <w:i w:val="0"/>
          <w:color w:val="202428"/>
          <w:sz w:val="16"/>
        </w:rPr>
        <w:t>35. Conclusion</w:t>
      </w:r>
    </w:p>
    <w:p>
      <w:pPr>
        <w:spacing w:before="0" w:after="7" w:line="230" w:lineRule="auto"/>
      </w:pPr>
      <w:r>
        <w:rPr>
          <w:rFonts w:ascii="Noto Serif" w:hAnsi="Noto Serif" w:eastAsia="Noto Serif"/>
          <w:b w:val="0"/>
          <w:i w:val="0"/>
          <w:color w:val="202428"/>
          <w:sz w:val="16"/>
        </w:rPr>
        <w:t>Appendices A-E</w:t>
      </w:r>
    </w:p>
    <w:p>
      <w:pPr>
        <w:spacing w:before="0" w:after="7" w:line="230" w:lineRule="auto"/>
      </w:pPr>
      <w:r>
        <w:rPr>
          <w:rFonts w:ascii="Noto Serif" w:hAnsi="Noto Serif" w:eastAsia="Noto Serif"/>
          <w:b w:val="0"/>
          <w:i w:val="0"/>
          <w:color w:val="202428"/>
          <w:sz w:val="16"/>
        </w:rPr>
        <w:t>References</w:t>
      </w:r>
    </w:p>
    <w:p>
      <w:r>
        <w:br w:type="page"/>
      </w:r>
    </w:p>
    <w:p>
      <w:pPr>
        <w:pStyle w:val="Heading1"/>
      </w:pPr>
      <w:r>
        <w:rPr>
          <w:rFonts w:ascii="Arimo" w:hAnsi="Arimo" w:eastAsia="Arimo"/>
          <w:b/>
          <w:i w:val="0"/>
          <w:color w:val="173F5F"/>
          <w:sz w:val="33"/>
        </w:rPr>
        <w:t>Abstract</w:t>
      </w:r>
    </w:p>
    <w:p>
      <w:pPr>
        <w:spacing w:before="0" w:after="80" w:line="250" w:lineRule="auto"/>
      </w:pPr>
      <w:r>
        <w:rPr>
          <w:rFonts w:ascii="Noto Serif" w:hAnsi="Noto Serif" w:eastAsia="Noto Serif"/>
          <w:b w:val="0"/>
          <w:i w:val="0"/>
          <w:color w:val="202428"/>
          <w:sz w:val="18"/>
        </w:rPr>
        <w:t>Investment research often treats business quality, valuation, financing and risk as adjacent topics rather than as one controlled system. CIF v2.0 integrates them. It begins with external economic, geopolitical, technological and industry state; identifies enterprise capabilities that can repeatedly produce useful outcomes; classifies the economic engine through which those capabilities must operate; tests economic conversion; independently tests Financial Viability; closes capital-allocation cohorts at realised owner return; measures Shareholder Value Capture; values the resulting states; determines portfolio role; and then connects, where relevant, to CPSR and CMVTR.</w:t>
      </w:r>
    </w:p>
    <w:p>
      <w:pPr>
        <w:spacing w:before="0" w:after="80" w:line="250" w:lineRule="auto"/>
      </w:pPr>
      <w:r>
        <w:rPr>
          <w:rFonts w:ascii="Noto Serif" w:hAnsi="Noto Serif" w:eastAsia="Noto Serif"/>
          <w:b w:val="0"/>
          <w:i w:val="0"/>
          <w:color w:val="202428"/>
          <w:sz w:val="18"/>
        </w:rPr>
        <w:t>The principal architectural advance since v1.2 is the Company Agent layer. Identical observations can have opposite meanings when the underlying economic mechanism differs. Negative working capital can be structural float or creditor stress. Development expenditure can be rational milestone capital or evidence that a mature enterprise cannot self-fund. Deposits and insurance liabilities can be productive balance-sheet inputs. A finite concession cannot be valued as an unearned perpetuity. Conventional industrial free cash flow is therefore not a universal owner-value measure.</w:t>
      </w:r>
    </w:p>
    <w:p>
      <w:pPr>
        <w:spacing w:before="0" w:after="80" w:line="250" w:lineRule="auto"/>
      </w:pPr>
      <w:r>
        <w:rPr>
          <w:rFonts w:ascii="Noto Serif" w:hAnsi="Noto Serif" w:eastAsia="Noto Serif"/>
          <w:b w:val="0"/>
          <w:i w:val="0"/>
          <w:color w:val="202428"/>
          <w:sz w:val="18"/>
        </w:rPr>
        <w:t>CIF remains standardised where comparability is useful and adaptive where causality demands it. Nine stable policy dimensions preserve comparability. Ten Economic Engine Modules are frozen at top level. Company-specific sub-architectures, overlays, capability states, owner-cash definitions, viability gates and falsification tests reflect the actual productive system. The persistent Company Agent State File becomes the canonical company research record.</w:t>
      </w:r>
    </w:p>
    <w:p>
      <w:pPr>
        <w:pStyle w:val="Heading1"/>
      </w:pPr>
      <w:r>
        <w:rPr>
          <w:rFonts w:ascii="Arimo" w:hAnsi="Arimo" w:eastAsia="Arimo"/>
          <w:b/>
          <w:i w:val="0"/>
          <w:color w:val="173F5F"/>
          <w:sz w:val="33"/>
        </w:rPr>
        <w:t>Executive Summary</w:t>
      </w:r>
    </w:p>
    <w:tbl>
      <w:tblPr>
        <w:tblW w:type="auto" w:w="0"/>
        <w:jc w:val="center"/>
        <w:tblLayout w:type="fixed"/>
        <w:tblLook w:firstColumn="1" w:firstRow="1" w:lastColumn="0" w:lastRow="0" w:noHBand="0" w:noVBand="1" w:val="04A0"/>
      </w:tblPr>
      <w:tblGrid>
        <w:gridCol w:w="2520"/>
        <w:gridCol w:w="7560"/>
      </w:tblGrid>
      <w:tr>
        <w:tc>
          <w:tcPr>
            <w:tcW w:type="dxa" w:w="5061"/>
            <w:tcMar>
              <w:top w:w="90" w:type="dxa"/>
              <w:start w:w="110" w:type="dxa"/>
              <w:bottom w:w="90" w:type="dxa"/>
              <w:end w:w="110" w:type="dxa"/>
            </w:tcMar>
            <w:shd w:fill="8A6A12"/>
            <w:tcBorders>
              <w:top w:val="single" w:sz="5" w:color="D9D2B9"/>
              <w:left w:val="single" w:sz="5" w:color="D9D2B9"/>
              <w:bottom w:val="single" w:sz="5" w:color="D9D2B9"/>
              <w:right w:val="single" w:sz="5" w:color="D9D2B9"/>
            </w:tcBorders>
          </w:tcPr>
          <w:p>
            <w:pPr>
              <w:spacing w:before="0" w:after="0" w:line="240" w:lineRule="auto"/>
            </w:pPr>
            <w:r>
              <w:rPr>
                <w:rFonts w:ascii="Noto Serif" w:hAnsi="Noto Serif" w:eastAsia="Noto Serif"/>
                <w:b/>
                <w:i w:val="0"/>
                <w:color w:val="FFFFFF"/>
                <w:sz w:val="15"/>
              </w:rPr>
              <w:t>Canonical sequence</w:t>
            </w:r>
          </w:p>
        </w:tc>
        <w:tc>
          <w:tcPr>
            <w:tcW w:type="dxa" w:w="5061"/>
            <w:tcMar>
              <w:top w:w="90" w:type="dxa"/>
              <w:start w:w="110" w:type="dxa"/>
              <w:bottom w:w="90" w:type="dxa"/>
              <w:end w:w="110" w:type="dxa"/>
            </w:tcMar>
            <w:shd w:fill="F3EEDB"/>
            <w:tcBorders>
              <w:top w:val="single" w:sz="5" w:color="D9D2B9"/>
              <w:left w:val="single" w:sz="5" w:color="D9D2B9"/>
              <w:bottom w:val="single" w:sz="5" w:color="D9D2B9"/>
              <w:right w:val="single" w:sz="5" w:color="D9D2B9"/>
            </w:tcBorders>
          </w:tcPr>
          <w:p>
            <w:pPr>
              <w:spacing w:before="0" w:after="0" w:line="240" w:lineRule="auto"/>
            </w:pPr>
            <w:r>
              <w:rPr>
                <w:rFonts w:ascii="Noto Serif" w:hAnsi="Noto Serif" w:eastAsia="Noto Serif"/>
                <w:b w:val="0"/>
                <w:i w:val="0"/>
                <w:color w:val="202428"/>
                <w:sz w:val="15"/>
              </w:rPr>
              <w:t>External State -&gt; Economic Engine Architecture -&gt; Capability -&gt; Execution -&gt; Archetype-Specific Economic Conversion -&gt; Financial Viability -&gt; Capital Allocation Closure -&gt; Shareholder Value Capture -&gt; Valuation -&gt; Portfolio Decision -&gt; CPSR / CMVTR -&gt; Monitoring -&gt; New Evidence -&gt; State Delta.</w:t>
            </w:r>
          </w:p>
        </w:tc>
      </w:tr>
    </w:tbl>
    <w:p>
      <w:pPr>
        <w:spacing w:after="0"/>
      </w:pPr>
    </w:p>
    <w:p>
      <w:pPr>
        <w:spacing w:before="0" w:after="80" w:line="250" w:lineRule="auto"/>
      </w:pPr>
      <w:r>
        <w:rPr>
          <w:rFonts w:ascii="Noto Serif" w:hAnsi="Noto Serif" w:eastAsia="Noto Serif"/>
          <w:b w:val="0"/>
          <w:i w:val="0"/>
          <w:color w:val="202428"/>
          <w:sz w:val="18"/>
        </w:rPr>
        <w:t>CIF is not a score or target-price generator. Its purpose is to make explicit the causal chain that must hold for an enterprise to create durable per-share value, determine what the market already pays for that chain, and preserve the ability to change the decision when evidence changes.</w:t>
      </w:r>
    </w:p>
    <w:p>
      <w:pPr>
        <w:spacing w:before="0" w:after="80" w:line="250" w:lineRule="auto"/>
      </w:pPr>
      <w:r>
        <w:rPr>
          <w:rFonts w:ascii="Noto Serif" w:hAnsi="Noto Serif" w:eastAsia="Noto Serif"/>
          <w:b w:val="0"/>
          <w:i w:val="0"/>
          <w:color w:val="202428"/>
          <w:sz w:val="18"/>
        </w:rPr>
        <w:t>The nine-dimensional CIF scorecard remains a consistency and comparability device. It cannot override a binding constraint, Financial Viability failure, value-destructive capital cohort, broken shareholder-capture mechanism, severe Decision Risk, inadequate evidence or valuation that fails the required-return test.</w:t>
      </w:r>
    </w:p>
    <w:p>
      <w:pPr>
        <w:keepNext/>
        <w:spacing w:before="80" w:after="20" w:line="240" w:lineRule="auto"/>
        <w:jc w:val="center"/>
      </w:pPr>
      <w:r>
        <w:rPr>
          <w:rFonts w:ascii="Arimo" w:hAnsi="Arimo" w:eastAsia="Arimo"/>
          <w:b/>
          <w:i w:val="0"/>
          <w:color w:val="173F5F"/>
          <w:sz w:val="16"/>
        </w:rPr>
        <w:t>THE CELERITY INVESTMENT FRAMEWORK</w:t>
      </w:r>
    </w:p>
    <w:p>
      <w:pPr>
        <w:keepNext/>
        <w:spacing w:before="0" w:after="40" w:line="240" w:lineRule="auto"/>
        <w:jc w:val="center"/>
      </w:pPr>
      <w:r>
        <w:rPr>
          <w:rFonts w:ascii="Noto Serif" w:hAnsi="Noto Serif" w:eastAsia="Noto Serif"/>
          <w:b w:val="0"/>
          <w:i/>
          <w:color w:val="666666"/>
          <w:sz w:val="11"/>
        </w:rPr>
        <w:t>A controlled sequence with Decision Risk across the system and monitoring as the feedback loop</w:t>
      </w:r>
    </w:p>
    <w:tbl>
      <w:tblPr>
        <w:tblW w:type="auto" w:w="0"/>
        <w:jc w:val="center"/>
        <w:tblLook w:firstColumn="1" w:firstRow="1" w:lastColumn="0" w:lastRow="0" w:noHBand="0" w:noVBand="1" w:val="04A0"/>
      </w:tblPr>
      <w:tblGrid>
        <w:gridCol w:w="10123"/>
      </w:tblGrid>
      <w:tr>
        <w:tc>
          <w:tcPr>
            <w:tcW w:type="dxa" w:w="10123"/>
            <w:shd w:fill="F3EEDB"/>
            <w:tcMar>
              <w:top w:w="45" w:type="dxa"/>
              <w:start w:w="60" w:type="dxa"/>
              <w:bottom w:w="45" w:type="dxa"/>
              <w:end w:w="60" w:type="dxa"/>
            </w:tcMar>
            <w:tcBorders>
              <w:top w:val="single" w:sz="6" w:color="B29A54"/>
              <w:left w:val="single" w:sz="6" w:color="B29A54"/>
              <w:bottom w:val="single" w:sz="6" w:color="B29A54"/>
              <w:right w:val="single" w:sz="6" w:color="B29A54"/>
            </w:tcBorders>
          </w:tcPr>
          <w:p>
            <w:pPr>
              <w:jc w:val="center"/>
            </w:pPr>
            <w:r>
              <w:rPr>
                <w:rFonts w:ascii="Arimo" w:hAnsi="Arimo" w:eastAsia="Arimo"/>
                <w:b/>
                <w:i w:val="0"/>
                <w:color w:val="8A6A12"/>
                <w:sz w:val="11"/>
              </w:rPr>
              <w:t>EXTERNAL CONTEXT  |  Economic  |  Geopolitical &amp; Sovereign  |  Technology &amp; Infrastructure  |  Industry Structure</w:t>
            </w:r>
          </w:p>
        </w:tc>
      </w:tr>
    </w:tbl>
    <w:p>
      <w:pPr>
        <w:spacing w:after="0"/>
      </w:pPr>
    </w:p>
    <w:tbl>
      <w:tblPr>
        <w:tblW w:type="auto" w:w="0"/>
        <w:jc w:val="center"/>
        <w:tblLayout w:type="fixed"/>
        <w:tblLook w:firstColumn="1" w:firstRow="1" w:lastColumn="0" w:lastRow="0" w:noHBand="0" w:noVBand="1" w:val="04A0"/>
      </w:tblPr>
      <w:tblGrid>
        <w:gridCol w:w="1446"/>
        <w:gridCol w:w="1446"/>
        <w:gridCol w:w="1446"/>
        <w:gridCol w:w="1446"/>
        <w:gridCol w:w="1446"/>
        <w:gridCol w:w="1446"/>
        <w:gridCol w:w="1446"/>
      </w:tblGrid>
      <w:tr>
        <w:tc>
          <w:tcPr>
            <w:tcW w:type="dxa" w:w="1440"/>
            <w:shd w:fill="EEF3F7"/>
            <w:tcMar>
              <w:top w:w="50" w:type="dxa"/>
              <w:start w:w="35" w:type="dxa"/>
              <w:bottom w:w="50" w:type="dxa"/>
              <w:end w:w="35" w:type="dxa"/>
            </w:tcMar>
            <w:tcBorders>
              <w:top w:val="single" w:sz="6" w:color="7F98AA"/>
              <w:left w:val="single" w:sz="6" w:color="7F98AA"/>
              <w:bottom w:val="single" w:sz="6" w:color="7F98AA"/>
              <w:right w:val="single" w:sz="6" w:color="7F98AA"/>
            </w:tcBorders>
            <w:vAlign w:val="center"/>
          </w:tcPr>
          <w:p>
            <w:pPr>
              <w:spacing w:before="0" w:after="0" w:line="240" w:lineRule="auto"/>
              <w:jc w:val="center"/>
            </w:pPr>
            <w:r>
              <w:rPr>
                <w:rFonts w:ascii="Arimo" w:hAnsi="Arimo" w:eastAsia="Arimo"/>
                <w:b/>
                <w:i w:val="0"/>
                <w:color w:val="173F5F"/>
                <w:sz w:val="11"/>
              </w:rPr>
              <w:t>Capability</w:t>
              <w:br/>
              <w:t>What can the enterprise repeatedly do?</w:t>
            </w:r>
          </w:p>
        </w:tc>
        <w:tc>
          <w:tcPr>
            <w:tcW w:type="dxa" w:w="1440"/>
            <w:shd w:fill="EEF3F7"/>
            <w:tcMar>
              <w:top w:w="50" w:type="dxa"/>
              <w:start w:w="35" w:type="dxa"/>
              <w:bottom w:w="50" w:type="dxa"/>
              <w:end w:w="35" w:type="dxa"/>
            </w:tcMar>
            <w:tcBorders>
              <w:top w:val="single" w:sz="6" w:color="7F98AA"/>
              <w:left w:val="single" w:sz="6" w:color="7F98AA"/>
              <w:bottom w:val="single" w:sz="6" w:color="7F98AA"/>
              <w:right w:val="single" w:sz="6" w:color="7F98AA"/>
            </w:tcBorders>
            <w:vAlign w:val="center"/>
          </w:tcPr>
          <w:p>
            <w:pPr>
              <w:spacing w:before="0" w:after="0" w:line="240" w:lineRule="auto"/>
              <w:jc w:val="center"/>
            </w:pPr>
            <w:r>
              <w:rPr>
                <w:rFonts w:ascii="Arimo" w:hAnsi="Arimo" w:eastAsia="Arimo"/>
                <w:b/>
                <w:i w:val="0"/>
                <w:color w:val="173F5F"/>
                <w:sz w:val="11"/>
              </w:rPr>
              <w:t>Company Agent</w:t>
              <w:br/>
              <w:t>Architecture</w:t>
              <w:br/>
              <w:t>What economic engine?</w:t>
            </w:r>
          </w:p>
        </w:tc>
        <w:tc>
          <w:tcPr>
            <w:tcW w:type="dxa" w:w="1440"/>
            <w:shd w:fill="EEF3F7"/>
            <w:tcMar>
              <w:top w:w="50" w:type="dxa"/>
              <w:start w:w="35" w:type="dxa"/>
              <w:bottom w:w="50" w:type="dxa"/>
              <w:end w:w="35" w:type="dxa"/>
            </w:tcMar>
            <w:tcBorders>
              <w:top w:val="single" w:sz="6" w:color="7F98AA"/>
              <w:left w:val="single" w:sz="6" w:color="7F98AA"/>
              <w:bottom w:val="single" w:sz="6" w:color="7F98AA"/>
              <w:right w:val="single" w:sz="6" w:color="7F98AA"/>
            </w:tcBorders>
            <w:vAlign w:val="center"/>
          </w:tcPr>
          <w:p>
            <w:pPr>
              <w:spacing w:before="0" w:after="0" w:line="240" w:lineRule="auto"/>
              <w:jc w:val="center"/>
            </w:pPr>
            <w:r>
              <w:rPr>
                <w:rFonts w:ascii="Arimo" w:hAnsi="Arimo" w:eastAsia="Arimo"/>
                <w:b/>
                <w:i w:val="0"/>
                <w:color w:val="173F5F"/>
                <w:sz w:val="11"/>
              </w:rPr>
              <w:t>Economic</w:t>
              <w:br/>
              <w:t>Confirmation</w:t>
              <w:br/>
              <w:t>What does capability earn?</w:t>
            </w:r>
          </w:p>
        </w:tc>
        <w:tc>
          <w:tcPr>
            <w:tcW w:type="dxa" w:w="1440"/>
            <w:shd w:fill="EEF3F7"/>
            <w:tcMar>
              <w:top w:w="50" w:type="dxa"/>
              <w:start w:w="35" w:type="dxa"/>
              <w:bottom w:w="50" w:type="dxa"/>
              <w:end w:w="35" w:type="dxa"/>
            </w:tcMar>
            <w:tcBorders>
              <w:top w:val="single" w:sz="6" w:color="7F98AA"/>
              <w:left w:val="single" w:sz="6" w:color="7F98AA"/>
              <w:bottom w:val="single" w:sz="6" w:color="7F98AA"/>
              <w:right w:val="single" w:sz="6" w:color="7F98AA"/>
            </w:tcBorders>
            <w:vAlign w:val="center"/>
          </w:tcPr>
          <w:p>
            <w:pPr>
              <w:spacing w:before="0" w:after="0" w:line="240" w:lineRule="auto"/>
              <w:jc w:val="center"/>
            </w:pPr>
            <w:r>
              <w:rPr>
                <w:rFonts w:ascii="Arimo" w:hAnsi="Arimo" w:eastAsia="Arimo"/>
                <w:b/>
                <w:i w:val="0"/>
                <w:color w:val="173F5F"/>
                <w:sz w:val="11"/>
              </w:rPr>
              <w:t>State-Based</w:t>
              <w:br/>
              <w:t>Valuation</w:t>
              <w:br/>
              <w:t>What state is it worth?</w:t>
            </w:r>
          </w:p>
        </w:tc>
        <w:tc>
          <w:tcPr>
            <w:tcW w:type="dxa" w:w="1440"/>
            <w:shd w:fill="EEF3F7"/>
            <w:tcMar>
              <w:top w:w="50" w:type="dxa"/>
              <w:start w:w="35" w:type="dxa"/>
              <w:bottom w:w="50" w:type="dxa"/>
              <w:end w:w="35" w:type="dxa"/>
            </w:tcMar>
            <w:tcBorders>
              <w:top w:val="single" w:sz="6" w:color="7F98AA"/>
              <w:left w:val="single" w:sz="6" w:color="7F98AA"/>
              <w:bottom w:val="single" w:sz="6" w:color="7F98AA"/>
              <w:right w:val="single" w:sz="6" w:color="7F98AA"/>
            </w:tcBorders>
            <w:vAlign w:val="center"/>
          </w:tcPr>
          <w:p>
            <w:pPr>
              <w:spacing w:before="0" w:after="0" w:line="240" w:lineRule="auto"/>
              <w:jc w:val="center"/>
            </w:pPr>
            <w:r>
              <w:rPr>
                <w:rFonts w:ascii="Arimo" w:hAnsi="Arimo" w:eastAsia="Arimo"/>
                <w:b/>
                <w:i w:val="0"/>
                <w:color w:val="173F5F"/>
                <w:sz w:val="11"/>
              </w:rPr>
              <w:t>Portfolio</w:t>
              <w:br/>
              <w:t>Construction</w:t>
              <w:br/>
              <w:t>What exposure is rational?</w:t>
            </w:r>
          </w:p>
        </w:tc>
        <w:tc>
          <w:tcPr>
            <w:tcW w:type="dxa" w:w="1440"/>
            <w:shd w:fill="EEF3F7"/>
            <w:tcMar>
              <w:top w:w="50" w:type="dxa"/>
              <w:start w:w="35" w:type="dxa"/>
              <w:bottom w:w="50" w:type="dxa"/>
              <w:end w:w="35" w:type="dxa"/>
            </w:tcMar>
            <w:tcBorders>
              <w:top w:val="single" w:sz="6" w:color="7F98AA"/>
              <w:left w:val="single" w:sz="6" w:color="7F98AA"/>
              <w:bottom w:val="single" w:sz="6" w:color="7F98AA"/>
              <w:right w:val="single" w:sz="6" w:color="7F98AA"/>
            </w:tcBorders>
            <w:vAlign w:val="center"/>
          </w:tcPr>
          <w:p>
            <w:pPr>
              <w:spacing w:before="0" w:after="0" w:line="240" w:lineRule="auto"/>
              <w:jc w:val="center"/>
            </w:pPr>
            <w:r>
              <w:rPr>
                <w:rFonts w:ascii="Arimo" w:hAnsi="Arimo" w:eastAsia="Arimo"/>
                <w:b/>
                <w:i w:val="0"/>
                <w:color w:val="173F5F"/>
                <w:sz w:val="11"/>
              </w:rPr>
              <w:t>Celerity Portfolio State</w:t>
              <w:br/>
              <w:t>&amp; Resilience Research</w:t>
              <w:br/>
              <w:t>(CPSR)</w:t>
            </w:r>
          </w:p>
        </w:tc>
        <w:tc>
          <w:tcPr>
            <w:tcW w:type="dxa" w:w="1440"/>
            <w:shd w:fill="EEF3F7"/>
            <w:tcMar>
              <w:top w:w="50" w:type="dxa"/>
              <w:start w:w="35" w:type="dxa"/>
              <w:bottom w:w="50" w:type="dxa"/>
              <w:end w:w="35" w:type="dxa"/>
            </w:tcMar>
            <w:tcBorders>
              <w:top w:val="single" w:sz="6" w:color="7F98AA"/>
              <w:left w:val="single" w:sz="6" w:color="7F98AA"/>
              <w:bottom w:val="single" w:sz="6" w:color="7F98AA"/>
              <w:right w:val="single" w:sz="6" w:color="7F98AA"/>
            </w:tcBorders>
            <w:vAlign w:val="center"/>
          </w:tcPr>
          <w:p>
            <w:pPr>
              <w:spacing w:before="0" w:after="0" w:line="240" w:lineRule="auto"/>
              <w:jc w:val="center"/>
            </w:pPr>
            <w:r>
              <w:rPr>
                <w:rFonts w:ascii="Arimo" w:hAnsi="Arimo" w:eastAsia="Arimo"/>
                <w:b/>
                <w:i w:val="0"/>
                <w:color w:val="173F5F"/>
                <w:sz w:val="11"/>
              </w:rPr>
              <w:t>Valuation, Volatility</w:t>
              <w:br/>
              <w:t>and the Price of Protection</w:t>
              <w:br/>
              <w:t>(CMVTR)</w:t>
            </w:r>
          </w:p>
        </w:tc>
      </w:tr>
    </w:tbl>
    <w:p>
      <w:pPr>
        <w:spacing w:after="0"/>
      </w:pPr>
    </w:p>
    <w:tbl>
      <w:tblPr>
        <w:tblW w:type="auto" w:w="0"/>
        <w:jc w:val="center"/>
        <w:tblLook w:firstColumn="1" w:firstRow="1" w:lastColumn="0" w:lastRow="0" w:noHBand="0" w:noVBand="1" w:val="04A0"/>
      </w:tblPr>
      <w:tblGrid>
        <w:gridCol w:w="10123"/>
      </w:tblGrid>
      <w:tr>
        <w:tc>
          <w:tcPr>
            <w:tcW w:type="dxa" w:w="10123"/>
            <w:shd w:fill="EEF3F7"/>
            <w:tcMar>
              <w:top w:w="40" w:type="dxa"/>
              <w:start w:w="60" w:type="dxa"/>
              <w:bottom w:w="40" w:type="dxa"/>
              <w:end w:w="60" w:type="dxa"/>
            </w:tcMar>
            <w:tcBorders>
              <w:top w:val="single" w:sz="5" w:color="7F98AA"/>
              <w:left w:val="single" w:sz="5" w:color="7F98AA"/>
              <w:bottom w:val="single" w:sz="5" w:color="7F98AA"/>
              <w:right w:val="single" w:sz="5" w:color="7F98AA"/>
            </w:tcBorders>
          </w:tcPr>
          <w:p>
            <w:pPr>
              <w:jc w:val="center"/>
            </w:pPr>
            <w:r>
              <w:rPr>
                <w:rFonts w:ascii="Arimo" w:hAnsi="Arimo" w:eastAsia="Arimo"/>
                <w:b/>
                <w:i w:val="0"/>
                <w:color w:val="173F5F"/>
                <w:sz w:val="11"/>
              </w:rPr>
              <w:t>DECISION RISK OVERLAY  |  base rates  |  anchoring  |  narrative capture  |  financing &amp; dilution  |  evidence transfer  |  double counting</w:t>
            </w:r>
          </w:p>
        </w:tc>
      </w:tr>
    </w:tbl>
    <w:p>
      <w:pPr>
        <w:spacing w:after="0"/>
      </w:pPr>
    </w:p>
    <w:tbl>
      <w:tblPr>
        <w:tblW w:type="auto" w:w="0"/>
        <w:jc w:val="center"/>
        <w:tblLook w:firstColumn="1" w:firstRow="1" w:lastColumn="0" w:lastRow="0" w:noHBand="0" w:noVBand="1" w:val="04A0"/>
      </w:tblPr>
      <w:tblGrid>
        <w:gridCol w:w="10123"/>
      </w:tblGrid>
      <w:tr>
        <w:tc>
          <w:tcPr>
            <w:tcW w:type="dxa" w:w="10123"/>
            <w:shd w:fill="173F5F"/>
            <w:tcMar>
              <w:top w:w="50" w:type="dxa"/>
              <w:start w:w="60" w:type="dxa"/>
              <w:bottom w:w="50" w:type="dxa"/>
              <w:end w:w="60" w:type="dxa"/>
            </w:tcMar>
            <w:tcBorders>
              <w:top w:val="single" w:sz="4" w:color="173F5F"/>
              <w:left w:val="single" w:sz="4" w:color="173F5F"/>
              <w:bottom w:val="single" w:sz="4" w:color="173F5F"/>
              <w:right w:val="single" w:sz="4" w:color="173F5F"/>
            </w:tcBorders>
          </w:tcPr>
          <w:p>
            <w:pPr>
              <w:jc w:val="center"/>
            </w:pPr>
            <w:r>
              <w:rPr>
                <w:rFonts w:ascii="Arimo" w:hAnsi="Arimo" w:eastAsia="Arimo"/>
                <w:b/>
                <w:i w:val="0"/>
                <w:color w:val="FFFFFF"/>
                <w:sz w:val="11"/>
              </w:rPr>
              <w:t>CONTINUOUS EVIDENCE &amp; MONITORING  |  baseline -&gt; new evidence -&gt; state delta -&gt; re-underwrite -&gt; new persistent baseline</w:t>
            </w:r>
          </w:p>
        </w:tc>
      </w:tr>
    </w:tbl>
    <w:p>
      <w:pPr>
        <w:spacing w:before="40" w:after="60" w:line="240" w:lineRule="auto"/>
        <w:jc w:val="center"/>
      </w:pPr>
      <w:r>
        <w:rPr>
          <w:rFonts w:ascii="Noto Serif" w:hAnsi="Noto Serif" w:eastAsia="Noto Serif"/>
          <w:b w:val="0"/>
          <w:i/>
          <w:color w:val="696969"/>
          <w:sz w:val="13"/>
        </w:rPr>
        <w:t>Figure 1. The Celerity Investment Framework: a controlled sequence with Decision Risk across the system and monitoring as the feedback loop.</w:t>
      </w:r>
    </w:p>
    <w:p>
      <w:pPr>
        <w:keepNext/>
        <w:spacing w:before="200" w:after="80" w:line="240" w:lineRule="auto"/>
      </w:pPr>
      <w:r>
        <w:rPr>
          <w:rFonts w:ascii="Arimo" w:hAnsi="Arimo" w:eastAsia="Arimo"/>
          <w:b/>
          <w:i w:val="0"/>
          <w:color w:val="173F5F"/>
          <w:sz w:val="33"/>
        </w:rPr>
        <w:t>Part I - Purpose and first principles</w:t>
      </w:r>
    </w:p>
    <w:p>
      <w:pPr>
        <w:pStyle w:val="Heading2"/>
      </w:pPr>
      <w:r>
        <w:rPr>
          <w:rFonts w:ascii="Arimo" w:hAnsi="Arimo" w:eastAsia="Arimo"/>
          <w:b/>
          <w:i w:val="0"/>
          <w:color w:val="173F5F"/>
          <w:sz w:val="23"/>
        </w:rPr>
        <w:t>1. What the framework is designed to do</w:t>
      </w:r>
    </w:p>
    <w:p>
      <w:pPr>
        <w:spacing w:before="0" w:after="80" w:line="250" w:lineRule="auto"/>
      </w:pPr>
      <w:r>
        <w:rPr>
          <w:rFonts w:ascii="Noto Serif" w:hAnsi="Noto Serif" w:eastAsia="Noto Serif"/>
          <w:b w:val="0"/>
          <w:i w:val="0"/>
          <w:color w:val="202428"/>
          <w:sz w:val="18"/>
        </w:rPr>
        <w:t>CIF is designed for long-horizon security selection and portfolio management where the central problem is not merely whether an enterprise is good, but whether it can form, operate, compound and renew economically valuable capability through an economic architecture that converts those capabilities into durable value for continuing shareholders at a price offering an acceptable forward return.</w:t>
      </w:r>
    </w:p>
    <w:p>
      <w:pPr>
        <w:spacing w:before="0" w:after="80" w:line="250" w:lineRule="auto"/>
      </w:pPr>
      <w:r>
        <w:rPr>
          <w:rFonts w:ascii="Noto Serif" w:hAnsi="Noto Serif" w:eastAsia="Noto Serif"/>
          <w:b w:val="0"/>
          <w:i w:val="0"/>
          <w:color w:val="202428"/>
          <w:sz w:val="18"/>
        </w:rPr>
        <w:t>It answers seven connected questions: what is changing outside the company; what can the enterprise repeatedly do; what economic engine converts that capability; can the enterprise finance the path to closure; does reinvestment earn its cost; how much value reaches continuing shareholders; and what portfolio action is justified given uncertainty, path risk and alternative uses of capital?</w:t>
      </w:r>
    </w:p>
    <w:p>
      <w:pPr>
        <w:pStyle w:val="Heading2"/>
      </w:pPr>
      <w:r>
        <w:rPr>
          <w:rFonts w:ascii="Arimo" w:hAnsi="Arimo" w:eastAsia="Arimo"/>
          <w:b/>
          <w:i w:val="0"/>
          <w:color w:val="173F5F"/>
          <w:sz w:val="23"/>
        </w:rPr>
        <w:t>2. The core investment question</w:t>
      </w:r>
    </w:p>
    <w:tbl>
      <w:tblPr>
        <w:tblW w:type="auto" w:w="0"/>
        <w:jc w:val="center"/>
        <w:tblLayout w:type="fixed"/>
        <w:tblLook w:firstColumn="1" w:firstRow="1" w:lastColumn="0" w:lastRow="0" w:noHBand="0" w:noVBand="1" w:val="04A0"/>
      </w:tblPr>
      <w:tblGrid>
        <w:gridCol w:w="2520"/>
        <w:gridCol w:w="7560"/>
      </w:tblGrid>
      <w:tr>
        <w:tc>
          <w:tcPr>
            <w:tcW w:type="dxa" w:w="5061"/>
            <w:tcMar>
              <w:top w:w="90" w:type="dxa"/>
              <w:start w:w="110" w:type="dxa"/>
              <w:bottom w:w="90" w:type="dxa"/>
              <w:end w:w="110" w:type="dxa"/>
            </w:tcMar>
            <w:shd w:fill="8A6A12"/>
            <w:tcBorders>
              <w:top w:val="single" w:sz="5" w:color="D9D2B9"/>
              <w:left w:val="single" w:sz="5" w:color="D9D2B9"/>
              <w:bottom w:val="single" w:sz="5" w:color="D9D2B9"/>
              <w:right w:val="single" w:sz="5" w:color="D9D2B9"/>
            </w:tcBorders>
          </w:tcPr>
          <w:p>
            <w:pPr>
              <w:spacing w:before="0" w:after="0" w:line="240" w:lineRule="auto"/>
            </w:pPr>
            <w:r>
              <w:rPr>
                <w:rFonts w:ascii="Noto Serif" w:hAnsi="Noto Serif" w:eastAsia="Noto Serif"/>
                <w:b/>
                <w:i w:val="0"/>
                <w:color w:val="FFFFFF"/>
                <w:sz w:val="15"/>
              </w:rPr>
              <w:t>Core investment question</w:t>
            </w:r>
          </w:p>
        </w:tc>
        <w:tc>
          <w:tcPr>
            <w:tcW w:type="dxa" w:w="5061"/>
            <w:tcMar>
              <w:top w:w="90" w:type="dxa"/>
              <w:start w:w="110" w:type="dxa"/>
              <w:bottom w:w="90" w:type="dxa"/>
              <w:end w:w="110" w:type="dxa"/>
            </w:tcMar>
            <w:shd w:fill="F3EEDB"/>
            <w:tcBorders>
              <w:top w:val="single" w:sz="5" w:color="D9D2B9"/>
              <w:left w:val="single" w:sz="5" w:color="D9D2B9"/>
              <w:bottom w:val="single" w:sz="5" w:color="D9D2B9"/>
              <w:right w:val="single" w:sz="5" w:color="D9D2B9"/>
            </w:tcBorders>
          </w:tcPr>
          <w:p>
            <w:pPr>
              <w:spacing w:before="0" w:after="0" w:line="240" w:lineRule="auto"/>
            </w:pPr>
            <w:r>
              <w:rPr>
                <w:rFonts w:ascii="Noto Serif" w:hAnsi="Noto Serif" w:eastAsia="Noto Serif"/>
                <w:b w:val="0"/>
                <w:i w:val="0"/>
                <w:color w:val="202428"/>
                <w:sz w:val="15"/>
              </w:rPr>
              <w:t>Does this security combine an understandable external environment, a durable capability system, the correct economic conversion architecture, Financial Viability, disciplined capital allocation, genuine Shareholder Value Capture, a valuation that compensates for uncertainty, an appropriate portfolio role and a decision process robust enough to change when the evidence changes?</w:t>
            </w:r>
          </w:p>
        </w:tc>
      </w:tr>
    </w:tbl>
    <w:p>
      <w:pPr>
        <w:spacing w:after="0"/>
      </w:pPr>
    </w:p>
    <w:p>
      <w:pPr>
        <w:spacing w:before="0" w:after="80" w:line="250" w:lineRule="auto"/>
      </w:pPr>
      <w:r>
        <w:rPr>
          <w:rFonts w:ascii="Noto Serif" w:hAnsi="Noto Serif" w:eastAsia="Noto Serif"/>
          <w:b w:val="0"/>
          <w:i w:val="0"/>
          <w:color w:val="202428"/>
          <w:sz w:val="18"/>
        </w:rPr>
        <w:t>This deliberately separates the enterprise from the security. An exceptional enterprise can be a poor investment at an excessive price. A capable enterprise can still be a poor security if repeated financing transfers value to new capital providers. A highly capable cyclical company can still suffer damaging market paths.</w:t>
      </w:r>
    </w:p>
    <w:p>
      <w:pPr>
        <w:pStyle w:val="Heading2"/>
      </w:pPr>
      <w:r>
        <w:rPr>
          <w:rFonts w:ascii="Arimo" w:hAnsi="Arimo" w:eastAsia="Arimo"/>
          <w:b/>
          <w:i w:val="0"/>
          <w:color w:val="173F5F"/>
          <w:sz w:val="23"/>
        </w:rPr>
        <w:t>3. Seven operating principles</w:t>
      </w:r>
    </w:p>
    <w:tbl>
      <w:tblPr>
        <w:tblW w:type="auto" w:w="0"/>
        <w:jc w:val="center"/>
        <w:tblLayout w:type="fixed"/>
        <w:tblLook w:firstColumn="1" w:firstRow="1" w:lastColumn="0" w:lastRow="0" w:noHBand="0" w:noVBand="1" w:val="04A0"/>
      </w:tblPr>
      <w:tblGrid>
        <w:gridCol w:w="5061"/>
        <w:gridCol w:w="5061"/>
      </w:tblGrid>
      <w:tr>
        <w:trPr>
          <w:tblHeader w:val="true"/>
          <w:cantSplit/>
        </w:trPr>
        <w:tc>
          <w:tcPr>
            <w:tcW w:type="dxa" w:w="4968"/>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5"/>
              </w:rPr>
              <w:t>Principle</w:t>
            </w:r>
          </w:p>
        </w:tc>
        <w:tc>
          <w:tcPr>
            <w:tcW w:type="dxa" w:w="5112"/>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5"/>
              </w:rPr>
              <w:t>Meaning</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5"/>
              </w:rPr>
              <w:t>Capability precedes performance</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5"/>
              </w:rPr>
              <w:t>Reported outcomes are lagging evidence.</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5"/>
              </w:rPr>
              <w:t>Economic architecture precedes metric interpretation</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5"/>
              </w:rPr>
              <w:t>A metric has no universal capability meaning until the causal engine is identified.</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5"/>
              </w:rPr>
              <w:t>Economic transmission is mandatory</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5"/>
              </w:rPr>
              <w:t>Capability must connect to productive outcome, owner economics and falsification.</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5"/>
              </w:rPr>
              <w:t>Financial Viability is independent</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5"/>
              </w:rPr>
              <w:t>Strategic capability does not guarantee ability to finance the path to closure.</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5"/>
              </w:rPr>
              <w:t>Capital allocation closes at owner return</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5"/>
              </w:rPr>
              <w:t>Completion, revenue and announced synergy are intermediate evidence.</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5"/>
              </w:rPr>
              <w:t>Shareholder Value Capture is explicit</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5"/>
              </w:rPr>
              <w:t>Enterprise improvement counts only if durable owner value per economic diluted share improves.</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5"/>
              </w:rPr>
              <w:t>Valuation is conditional; research is persistent</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5"/>
              </w:rPr>
              <w:t>Fair value belongs to a state; historical assumptions and decisions are versioned.</w:t>
            </w:r>
          </w:p>
        </w:tc>
      </w:tr>
    </w:tbl>
    <w:p>
      <w:pPr>
        <w:spacing w:after="0"/>
      </w:pPr>
    </w:p>
    <w:p>
      <w:pPr>
        <w:keepNext/>
        <w:spacing w:before="200" w:after="80" w:line="240" w:lineRule="auto"/>
      </w:pPr>
      <w:r>
        <w:rPr>
          <w:rFonts w:ascii="Arimo" w:hAnsi="Arimo" w:eastAsia="Arimo"/>
          <w:b/>
          <w:i w:val="0"/>
          <w:color w:val="173F5F"/>
          <w:sz w:val="33"/>
        </w:rPr>
        <w:t>Part II - The architecture</w:t>
      </w:r>
    </w:p>
    <w:p>
      <w:pPr>
        <w:pStyle w:val="Heading2"/>
      </w:pPr>
      <w:r>
        <w:rPr>
          <w:rFonts w:ascii="Arimo" w:hAnsi="Arimo" w:eastAsia="Arimo"/>
          <w:b/>
          <w:i w:val="0"/>
          <w:color w:val="173F5F"/>
          <w:sz w:val="23"/>
        </w:rPr>
        <w:t>4. External context</w:t>
      </w:r>
    </w:p>
    <w:p>
      <w:pPr>
        <w:spacing w:before="0" w:after="80" w:line="250" w:lineRule="auto"/>
      </w:pPr>
      <w:r>
        <w:rPr>
          <w:rFonts w:ascii="Noto Serif" w:hAnsi="Noto Serif" w:eastAsia="Noto Serif"/>
          <w:b w:val="0"/>
          <w:i w:val="0"/>
          <w:color w:val="202428"/>
          <w:sz w:val="18"/>
        </w:rPr>
        <w:t>The framework begins outside the company. Economic conditions, geopolitical and sovereign conditions, technology and infrastructure cycles, and industry structure shape the opportunity set and constraints under which capability must operate. These are translation layers into company economics, not stand-alone macro forecasts.</w:t>
      </w:r>
    </w:p>
    <w:tbl>
      <w:tblPr>
        <w:tblW w:type="auto" w:w="0"/>
        <w:jc w:val="center"/>
        <w:tblLayout w:type="fixed"/>
        <w:tblLook w:firstColumn="1" w:firstRow="1" w:lastColumn="0" w:lastRow="0" w:noHBand="0" w:noVBand="1" w:val="04A0"/>
      </w:tblPr>
      <w:tblGrid>
        <w:gridCol w:w="3374"/>
        <w:gridCol w:w="3374"/>
        <w:gridCol w:w="3374"/>
      </w:tblGrid>
      <w:tr>
        <w:trPr>
          <w:tblHeader w:val="true"/>
          <w:cantSplit/>
        </w:trPr>
        <w:tc>
          <w:tcPr>
            <w:tcW w:type="dxa" w:w="2736"/>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Context layer</w:t>
            </w:r>
          </w:p>
        </w:tc>
        <w:tc>
          <w:tcPr>
            <w:tcW w:type="dxa" w:w="3672"/>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Core question</w:t>
            </w:r>
          </w:p>
        </w:tc>
        <w:tc>
          <w:tcPr>
            <w:tcW w:type="dxa" w:w="3672"/>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Typical transmission</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Economic</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What regime affects demand, financing, inflation and discount rates?</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Revenue, pricing, wages, credit, working capital, multiple and required return.</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Geopolitical / sovereign</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Can state power, regulation, security or access change economics?</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Market access, licences, taxes, supply chains, industrial support, sanctions, social licence.</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Technology &amp; infrastructure cycles</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Where is the system in invention, build-out, adoption, consolidation or profit capture?</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Demand, capex, obsolescence, productivity, bottlenecks and competitive redistribution.</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Industry structure</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Who has bargaining power and can returns persist?</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Margins, entry, substitutes, capacity discipline and rent capture.</w:t>
            </w:r>
          </w:p>
        </w:tc>
      </w:tr>
    </w:tbl>
    <w:p>
      <w:pPr>
        <w:spacing w:after="0"/>
      </w:pPr>
    </w:p>
    <w:p>
      <w:pPr>
        <w:pStyle w:val="Heading2"/>
      </w:pPr>
      <w:r>
        <w:rPr>
          <w:rFonts w:ascii="Arimo" w:hAnsi="Arimo" w:eastAsia="Arimo"/>
          <w:b/>
          <w:i w:val="0"/>
          <w:color w:val="173F5F"/>
          <w:sz w:val="23"/>
        </w:rPr>
        <w:t>5. Capability Science as the leading-indicator engine</w:t>
      </w:r>
    </w:p>
    <w:p>
      <w:pPr>
        <w:spacing w:before="0" w:after="80" w:line="250" w:lineRule="auto"/>
      </w:pPr>
      <w:r>
        <w:rPr>
          <w:rFonts w:ascii="Noto Serif" w:hAnsi="Noto Serif" w:eastAsia="Noto Serif"/>
          <w:b w:val="0"/>
          <w:i w:val="0"/>
          <w:color w:val="202428"/>
          <w:sz w:val="18"/>
        </w:rPr>
        <w:t>Capability Science changes the unit of analysis. Instead of asking only what assets, products or ratios the company possesses, research asks what the organised enterprise can repeatedly produce under changing conditions. Capability exists when people, knowledge, technology, governance, relationships, processes and capital are integrated into repeatable productive capacity.</w:t>
      </w:r>
    </w:p>
    <w:tbl>
      <w:tblPr>
        <w:tblW w:type="auto" w:w="0"/>
        <w:jc w:val="center"/>
        <w:tblLayout w:type="fixed"/>
        <w:tblLook w:firstColumn="1" w:firstRow="1" w:lastColumn="0" w:lastRow="0" w:noHBand="0" w:noVBand="1" w:val="04A0"/>
      </w:tblPr>
      <w:tblGrid>
        <w:gridCol w:w="3374"/>
        <w:gridCol w:w="3374"/>
        <w:gridCol w:w="3374"/>
      </w:tblGrid>
      <w:tr>
        <w:trPr>
          <w:tblHeader w:val="true"/>
          <w:cantSplit/>
        </w:trPr>
        <w:tc>
          <w:tcPr>
            <w:tcW w:type="dxa" w:w="2376"/>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Assessment field</w:t>
            </w:r>
          </w:p>
        </w:tc>
        <w:tc>
          <w:tcPr>
            <w:tcW w:type="dxa" w:w="3960"/>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Controlled values</w:t>
            </w:r>
          </w:p>
        </w:tc>
        <w:tc>
          <w:tcPr>
            <w:tcW w:type="dxa" w:w="3744"/>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Purpose</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State</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Forming / Operational / Compounding / Renewing / Decaying</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Lifecycle state.</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Trajectory</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Improving / Stable / Deteriorating</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Direction of travel.</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Evidence confidence</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Weak / Moderate / Strong</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Strength of evidence, separate from capability quality.</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Evidence class</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Formation / Execution / Compounding / Decay</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What kind of evidence has been observed.</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Leverage</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Low / Medium / High or qualitative</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Whether change affects many other outcomes.</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Constraint status</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None / Possible / Confirmed</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Whether it limits the wider enterprise system.</w:t>
            </w:r>
          </w:p>
        </w:tc>
      </w:tr>
    </w:tbl>
    <w:p>
      <w:pPr>
        <w:spacing w:after="0"/>
      </w:pPr>
    </w:p>
    <w:p>
      <w:pPr>
        <w:pStyle w:val="Heading2"/>
      </w:pPr>
      <w:r>
        <w:rPr>
          <w:rFonts w:ascii="Arimo" w:hAnsi="Arimo" w:eastAsia="Arimo"/>
          <w:b/>
          <w:i w:val="0"/>
          <w:color w:val="173F5F"/>
          <w:sz w:val="23"/>
        </w:rPr>
        <w:t>6. Economic Engine Architecture and the Company Agent</w:t>
      </w:r>
    </w:p>
    <w:p>
      <w:pPr>
        <w:spacing w:before="0" w:after="80" w:line="250" w:lineRule="auto"/>
      </w:pPr>
      <w:r>
        <w:rPr>
          <w:rFonts w:ascii="Noto Serif" w:hAnsi="Noto Serif" w:eastAsia="Noto Serif"/>
          <w:b w:val="0"/>
          <w:i w:val="0"/>
          <w:color w:val="202428"/>
          <w:sz w:val="18"/>
        </w:rPr>
        <w:t>The Company Agent Architecture supplies the causal layer between organisational capability and investor economics. Before interpreting financial statements, the analyst declares the economic engines present, their relevance, shared capabilities, central costs, overlays, binding constraint, owner-cash definition, independent viability gate, valuation attribution and falsification register.</w:t>
      </w:r>
    </w:p>
    <w:p>
      <w:pPr>
        <w:spacing w:before="0" w:after="80" w:line="250" w:lineRule="auto"/>
      </w:pPr>
      <w:r>
        <w:rPr>
          <w:rFonts w:ascii="Noto Serif" w:hAnsi="Noto Serif" w:eastAsia="Noto Serif"/>
          <w:b w:val="0"/>
          <w:i w:val="0"/>
          <w:color w:val="202428"/>
          <w:sz w:val="18"/>
        </w:rPr>
        <w:t>The Company Agent is a context-sensitive state architecture, not a named-company template. Calibration contexts include a stressed loyalty intermediary; a hit-driven project/IP studio; a federated diagnostic network; a commercial radiopharma platform; a dense grocery retail system; an insurer; a bank; a toll-road concession portfolio; a pre-commercial medical-device developer; a technology distributor; a diversified miner; a telecommunications network; and a recurring healthcare-software business. Actual company names are deliberately omitted from this Company Agent state discussion.</w:t>
      </w:r>
    </w:p>
    <w:tbl>
      <w:tblPr>
        <w:tblW w:type="auto" w:w="0"/>
        <w:jc w:val="center"/>
        <w:tblLayout w:type="fixed"/>
        <w:tblLook w:firstColumn="1" w:firstRow="1" w:lastColumn="0" w:lastRow="0" w:noHBand="0" w:noVBand="1" w:val="04A0"/>
      </w:tblPr>
      <w:tblGrid>
        <w:gridCol w:w="5061"/>
        <w:gridCol w:w="5061"/>
      </w:tblGrid>
      <w:tr>
        <w:trPr>
          <w:tblHeader w:val="true"/>
          <w:cantSplit/>
        </w:trPr>
        <w:tc>
          <w:tcPr>
            <w:tcW w:type="dxa" w:w="3168"/>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Configuration field</w:t>
            </w:r>
          </w:p>
        </w:tc>
        <w:tc>
          <w:tcPr>
            <w:tcW w:type="dxa" w:w="6912"/>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Required content</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Primary engine(s)</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One or more frozen modules.</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Engine relevance</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Revenue, gross profit, owner cash or strategic role; do not weight blindly by revenue.</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Sub-architecture</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Validated subtype where relevant.</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Shared capabilities</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Capabilities genuinely serving multiple engines.</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Central/shared costs</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Costs not already embedded in engine economics.</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Overlays</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Only those changing causal economics or evidence interpretation.</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Binding constraint</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Capability or external condition most likely to determine the next state.</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Owner-cash definition</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Archetype-specific formula stated before valuation.</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Independent viability gate</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Auditor, regulator, capital/liquidity, runway, covenant or equivalent evidence.</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Valuation attribution</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Which engine/capability creates each component of intrinsic value.</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Falsification register</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Observable state-change evidence ranked by valuation leverage.</w:t>
            </w:r>
          </w:p>
        </w:tc>
      </w:tr>
    </w:tbl>
    <w:p>
      <w:pPr>
        <w:spacing w:after="0"/>
      </w:pPr>
    </w:p>
    <w:p>
      <w:pPr>
        <w:pStyle w:val="Heading2"/>
      </w:pPr>
      <w:r>
        <w:rPr>
          <w:rFonts w:ascii="Arimo" w:hAnsi="Arimo" w:eastAsia="Arimo"/>
          <w:b/>
          <w:i w:val="0"/>
          <w:color w:val="173F5F"/>
          <w:sz w:val="23"/>
        </w:rPr>
        <w:t>7. The ten frozen Economic Engine Modules</w:t>
      </w:r>
    </w:p>
    <w:tbl>
      <w:tblPr>
        <w:tblW w:type="auto" w:w="0"/>
        <w:jc w:val="center"/>
        <w:tblLayout w:type="fixed"/>
        <w:tblLook w:firstColumn="1" w:firstRow="1" w:lastColumn="0" w:lastRow="0" w:noHBand="0" w:noVBand="1" w:val="04A0"/>
      </w:tblPr>
      <w:tblGrid>
        <w:gridCol w:w="3374"/>
        <w:gridCol w:w="3374"/>
        <w:gridCol w:w="3374"/>
      </w:tblGrid>
      <w:tr>
        <w:trPr>
          <w:tblHeader w:val="true"/>
          <w:cantSplit/>
        </w:trPr>
        <w:tc>
          <w:tcPr>
            <w:tcW w:type="dxa" w:w="504"/>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3"/>
              </w:rPr>
              <w:t>#</w:t>
            </w:r>
          </w:p>
        </w:tc>
        <w:tc>
          <w:tcPr>
            <w:tcW w:type="dxa" w:w="4032"/>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3"/>
              </w:rPr>
              <w:t>Economic Engine Module</w:t>
            </w:r>
          </w:p>
        </w:tc>
        <w:tc>
          <w:tcPr>
            <w:tcW w:type="dxa" w:w="5544"/>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3"/>
              </w:rPr>
              <w:t>Core conversion</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1</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Recurring Software / Data / Subscription</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Recurring revenue -&gt; gross profit (GP) -&gt; contribution -&gt; owner cash after maintenance development.</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2</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People-Led Services / Professional Capability</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Expertise -&gt; contribution -&gt; GP/employee -&gt; owner cash via utilisation and knowledge compression.</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3</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Merchant / Distributor / Intermediary</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Volume -&gt; retained spread/GP -&gt; normalised working capital/finance -&gt; owner cash.</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4</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Marketplace / Transaction Network</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total transaction value / gross merchandise value (TTV/GMV) -&gt; realised take rate -&gt; contribution -&gt; settlement/WC -&gt; owner cash.</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5</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Replicated Unit / Site &amp; Production Network</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Network density -&gt; throughput/productivity -&gt; return on capital (ROC) / free cash flow to equity (FCFE) after replication and maintenance capital.</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6</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Asset-Heavy Cyclical / Resource</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Price/volume/cost -&gt; operating cash flow (OCF) -&gt; owner cash after sustaining/replacement capability capital.</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7</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Contracted / Regulated Infrastructure</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Contract/concession cash -&gt; recurring Free Cash after lifecycle capital/financing and finite-right replacement.</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8</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Financial Intermediation / Balance-Sheet</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Risk-adjusted spread/underwriting/investment return -&gt; distributable capital after regulatory/economic capital.</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9</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Project / IP Portfolio / Hit-Driven</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Project/title cohorts -&gt; catalogue/franchise cash -&gt; portfolio owner return after development capital.</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10</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Development / Pre-Cash-Flow Innovation</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Milestone de-risking -&gt; probability-weighted commercial value less runway/dilution to economic closure.</w:t>
            </w:r>
          </w:p>
        </w:tc>
      </w:tr>
    </w:tbl>
    <w:p>
      <w:pPr>
        <w:spacing w:after="0"/>
      </w:pPr>
    </w:p>
    <w:p>
      <w:pPr>
        <w:spacing w:before="0" w:after="80" w:line="250" w:lineRule="auto"/>
      </w:pPr>
      <w:r>
        <w:rPr>
          <w:rFonts w:ascii="Noto Serif" w:hAnsi="Noto Serif" w:eastAsia="Noto Serif"/>
          <w:b w:val="0"/>
          <w:i w:val="0"/>
          <w:color w:val="202428"/>
          <w:sz w:val="18"/>
        </w:rPr>
        <w:t>The top-level taxonomy is frozen. New sub-architectures may be added where necessary, but a new primary module requires evidence that a material economic engine cannot be represented causally by any existing module without distorting its owner-cash definition.</w:t>
      </w:r>
    </w:p>
    <w:p>
      <w:pPr>
        <w:pStyle w:val="Heading2"/>
      </w:pPr>
      <w:r>
        <w:rPr>
          <w:rFonts w:ascii="Arimo" w:hAnsi="Arimo" w:eastAsia="Arimo"/>
          <w:b/>
          <w:i w:val="0"/>
          <w:color w:val="173F5F"/>
          <w:sz w:val="23"/>
        </w:rPr>
        <w:t>8. The Celerity policy scorecard</w:t>
      </w:r>
    </w:p>
    <w:p>
      <w:pPr>
        <w:spacing w:before="0" w:after="80" w:line="250" w:lineRule="auto"/>
      </w:pPr>
      <w:r>
        <w:rPr>
          <w:rFonts w:ascii="Noto Serif" w:hAnsi="Noto Serif" w:eastAsia="Noto Serif"/>
          <w:b w:val="0"/>
          <w:i w:val="0"/>
          <w:color w:val="202428"/>
          <w:sz w:val="18"/>
        </w:rPr>
        <w:t>The capability map and economic-engine architecture are company-specific, but CIF retains a stable nine-dimension policy scorecard to preserve comparability. These are policy weights, not empirically discovered coefficients, and change only through framework version control.</w:t>
      </w:r>
    </w:p>
    <w:tbl>
      <w:tblPr>
        <w:tblW w:type="auto" w:w="0"/>
        <w:jc w:val="center"/>
        <w:tblLayout w:type="fixed"/>
        <w:tblLook w:firstColumn="1" w:firstRow="1" w:lastColumn="0" w:lastRow="0" w:noHBand="0" w:noVBand="1" w:val="04A0"/>
      </w:tblPr>
      <w:tblGrid>
        <w:gridCol w:w="5061"/>
        <w:gridCol w:w="5061"/>
      </w:tblGrid>
      <w:tr>
        <w:trPr>
          <w:tblHeader w:val="true"/>
          <w:cantSplit/>
        </w:trPr>
        <w:tc>
          <w:tcPr>
            <w:tcW w:type="dxa" w:w="7488"/>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CIF dimension</w:t>
            </w:r>
          </w:p>
        </w:tc>
        <w:tc>
          <w:tcPr>
            <w:tcW w:type="dxa" w:w="2592"/>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Weight</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Economic</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7.5%</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Geopolitical / Sovereign</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7.5%</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Technology &amp; Infrastructure Cycles</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10.0%</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Industry Structure</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10.0%</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Competitive Power</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15.0%</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Compounder Quality</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20.0%</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Management &amp; Culture</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10.0%</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Innovation &amp; Finance</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7.5%</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Valuation &amp; Portfolio Construction</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12.5%</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Total</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100.0%</w:t>
            </w:r>
          </w:p>
        </w:tc>
      </w:tr>
    </w:tbl>
    <w:p>
      <w:pPr>
        <w:spacing w:after="0"/>
      </w:pPr>
    </w:p>
    <w:p>
      <w:pPr>
        <w:spacing w:before="0" w:after="80" w:line="250" w:lineRule="auto"/>
      </w:pPr>
      <w:r>
        <w:rPr>
          <w:rFonts w:ascii="Noto Serif" w:hAnsi="Noto Serif" w:eastAsia="Noto Serif"/>
          <w:b w:val="0"/>
          <w:i w:val="0"/>
          <w:color w:val="202428"/>
          <w:sz w:val="18"/>
        </w:rPr>
        <w:t>The score is a consistency device, not a buy/sell rule and not a substitute for causal company architecture.</w:t>
      </w:r>
    </w:p>
    <w:p>
      <w:pPr>
        <w:pStyle w:val="Heading2"/>
      </w:pPr>
      <w:r>
        <w:rPr>
          <w:rFonts w:ascii="Arimo" w:hAnsi="Arimo" w:eastAsia="Arimo"/>
          <w:b/>
          <w:i w:val="0"/>
          <w:color w:val="173F5F"/>
          <w:sz w:val="23"/>
        </w:rPr>
        <w:t>9. Capability-to-economics transmission</w:t>
      </w:r>
    </w:p>
    <w:p>
      <w:pPr>
        <w:spacing w:before="0" w:after="80" w:line="250" w:lineRule="auto"/>
      </w:pPr>
      <w:r>
        <w:rPr>
          <w:rFonts w:ascii="Noto Serif" w:hAnsi="Noto Serif" w:eastAsia="Noto Serif"/>
          <w:b w:val="0"/>
          <w:i w:val="0"/>
          <w:color w:val="202428"/>
          <w:sz w:val="18"/>
        </w:rPr>
        <w:t>Capability research becomes investment research only when the transmission mechanism is explicit. The required chain is capability change -&gt; repeatable productive outcome -&gt; archetype-specific economic consequence -&gt; investment consequence. Activity growth is never a universal capability state.</w:t>
      </w:r>
    </w:p>
    <w:p>
      <w:pPr>
        <w:keepNext/>
        <w:spacing w:before="80" w:after="20" w:line="240" w:lineRule="auto"/>
        <w:jc w:val="center"/>
      </w:pPr>
      <w:r>
        <w:rPr>
          <w:rFonts w:ascii="Arimo" w:hAnsi="Arimo" w:eastAsia="Arimo"/>
          <w:b/>
          <w:i w:val="0"/>
          <w:color w:val="173F5F"/>
          <w:sz w:val="16"/>
        </w:rPr>
        <w:t>CAPABILITY-TO-ECONOMICS TRANSMISSION</w:t>
      </w:r>
    </w:p>
    <w:tbl>
      <w:tblPr>
        <w:tblW w:type="auto" w:w="0"/>
        <w:jc w:val="center"/>
        <w:tblLayout w:type="fixed"/>
        <w:tblLook w:firstColumn="1" w:firstRow="1" w:lastColumn="0" w:lastRow="0" w:noHBand="0" w:noVBand="1" w:val="04A0"/>
      </w:tblPr>
      <w:tblGrid>
        <w:gridCol w:w="1446"/>
        <w:gridCol w:w="1446"/>
        <w:gridCol w:w="1446"/>
        <w:gridCol w:w="1446"/>
        <w:gridCol w:w="1446"/>
        <w:gridCol w:w="1446"/>
        <w:gridCol w:w="1446"/>
      </w:tblGrid>
      <w:tr>
        <w:tc>
          <w:tcPr>
            <w:tcW w:type="dxa" w:w="1440"/>
            <w:shd w:fill="EEF3F7"/>
            <w:tcMar>
              <w:top w:w="50" w:type="dxa"/>
              <w:start w:w="35" w:type="dxa"/>
              <w:bottom w:w="50" w:type="dxa"/>
              <w:end w:w="35" w:type="dxa"/>
            </w:tcMar>
            <w:tcBorders>
              <w:top w:val="single" w:sz="6" w:color="7F98AA"/>
              <w:left w:val="single" w:sz="6" w:color="7F98AA"/>
              <w:bottom w:val="single" w:sz="6" w:color="7F98AA"/>
              <w:right w:val="single" w:sz="6" w:color="7F98AA"/>
            </w:tcBorders>
            <w:vAlign w:val="center"/>
          </w:tcPr>
          <w:p>
            <w:pPr>
              <w:spacing w:before="0" w:after="0" w:line="240" w:lineRule="auto"/>
              <w:jc w:val="center"/>
            </w:pPr>
            <w:r>
              <w:rPr>
                <w:rFonts w:ascii="Arimo" w:hAnsi="Arimo" w:eastAsia="Arimo"/>
                <w:b/>
                <w:i w:val="0"/>
                <w:color w:val="173F5F"/>
                <w:sz w:val="11"/>
              </w:rPr>
              <w:t>Investment &amp;</w:t>
              <w:br/>
              <w:t>resource inputs</w:t>
            </w:r>
          </w:p>
        </w:tc>
        <w:tc>
          <w:tcPr>
            <w:tcW w:type="dxa" w:w="1440"/>
            <w:shd w:fill="EEF3F7"/>
            <w:tcMar>
              <w:top w:w="50" w:type="dxa"/>
              <w:start w:w="35" w:type="dxa"/>
              <w:bottom w:w="50" w:type="dxa"/>
              <w:end w:w="35" w:type="dxa"/>
            </w:tcMar>
            <w:tcBorders>
              <w:top w:val="single" w:sz="6" w:color="7F98AA"/>
              <w:left w:val="single" w:sz="6" w:color="7F98AA"/>
              <w:bottom w:val="single" w:sz="6" w:color="7F98AA"/>
              <w:right w:val="single" w:sz="6" w:color="7F98AA"/>
            </w:tcBorders>
            <w:vAlign w:val="center"/>
          </w:tcPr>
          <w:p>
            <w:pPr>
              <w:spacing w:before="0" w:after="0" w:line="240" w:lineRule="auto"/>
              <w:jc w:val="center"/>
            </w:pPr>
            <w:r>
              <w:rPr>
                <w:rFonts w:ascii="Arimo" w:hAnsi="Arimo" w:eastAsia="Arimo"/>
                <w:b/>
                <w:i w:val="0"/>
                <w:color w:val="173F5F"/>
                <w:sz w:val="11"/>
              </w:rPr>
              <w:t>Capability</w:t>
              <w:br/>
              <w:t>formation</w:t>
            </w:r>
          </w:p>
        </w:tc>
        <w:tc>
          <w:tcPr>
            <w:tcW w:type="dxa" w:w="1440"/>
            <w:shd w:fill="EEF3F7"/>
            <w:tcMar>
              <w:top w:w="50" w:type="dxa"/>
              <w:start w:w="35" w:type="dxa"/>
              <w:bottom w:w="50" w:type="dxa"/>
              <w:end w:w="35" w:type="dxa"/>
            </w:tcMar>
            <w:tcBorders>
              <w:top w:val="single" w:sz="6" w:color="7F98AA"/>
              <w:left w:val="single" w:sz="6" w:color="7F98AA"/>
              <w:bottom w:val="single" w:sz="6" w:color="7F98AA"/>
              <w:right w:val="single" w:sz="6" w:color="7F98AA"/>
            </w:tcBorders>
            <w:vAlign w:val="center"/>
          </w:tcPr>
          <w:p>
            <w:pPr>
              <w:spacing w:before="0" w:after="0" w:line="240" w:lineRule="auto"/>
              <w:jc w:val="center"/>
            </w:pPr>
            <w:r>
              <w:rPr>
                <w:rFonts w:ascii="Arimo" w:hAnsi="Arimo" w:eastAsia="Arimo"/>
                <w:b/>
                <w:i w:val="0"/>
                <w:color w:val="173F5F"/>
                <w:sz w:val="11"/>
              </w:rPr>
              <w:t>Execution</w:t>
            </w:r>
          </w:p>
        </w:tc>
        <w:tc>
          <w:tcPr>
            <w:tcW w:type="dxa" w:w="1440"/>
            <w:shd w:fill="EEF3F7"/>
            <w:tcMar>
              <w:top w:w="50" w:type="dxa"/>
              <w:start w:w="35" w:type="dxa"/>
              <w:bottom w:w="50" w:type="dxa"/>
              <w:end w:w="35" w:type="dxa"/>
            </w:tcMar>
            <w:tcBorders>
              <w:top w:val="single" w:sz="6" w:color="7F98AA"/>
              <w:left w:val="single" w:sz="6" w:color="7F98AA"/>
              <w:bottom w:val="single" w:sz="6" w:color="7F98AA"/>
              <w:right w:val="single" w:sz="6" w:color="7F98AA"/>
            </w:tcBorders>
            <w:vAlign w:val="center"/>
          </w:tcPr>
          <w:p>
            <w:pPr>
              <w:spacing w:before="0" w:after="0" w:line="240" w:lineRule="auto"/>
              <w:jc w:val="center"/>
            </w:pPr>
            <w:r>
              <w:rPr>
                <w:rFonts w:ascii="Arimo" w:hAnsi="Arimo" w:eastAsia="Arimo"/>
                <w:b/>
                <w:i w:val="0"/>
                <w:color w:val="173F5F"/>
                <w:sz w:val="11"/>
              </w:rPr>
              <w:t>Economic</w:t>
              <w:br/>
              <w:t>outcome</w:t>
            </w:r>
          </w:p>
        </w:tc>
        <w:tc>
          <w:tcPr>
            <w:tcW w:type="dxa" w:w="1440"/>
            <w:shd w:fill="EEF3F7"/>
            <w:tcMar>
              <w:top w:w="50" w:type="dxa"/>
              <w:start w:w="35" w:type="dxa"/>
              <w:bottom w:w="50" w:type="dxa"/>
              <w:end w:w="35" w:type="dxa"/>
            </w:tcMar>
            <w:tcBorders>
              <w:top w:val="single" w:sz="6" w:color="7F98AA"/>
              <w:left w:val="single" w:sz="6" w:color="7F98AA"/>
              <w:bottom w:val="single" w:sz="6" w:color="7F98AA"/>
              <w:right w:val="single" w:sz="6" w:color="7F98AA"/>
            </w:tcBorders>
            <w:vAlign w:val="center"/>
          </w:tcPr>
          <w:p>
            <w:pPr>
              <w:spacing w:before="0" w:after="0" w:line="240" w:lineRule="auto"/>
              <w:jc w:val="center"/>
            </w:pPr>
            <w:r>
              <w:rPr>
                <w:rFonts w:ascii="Arimo" w:hAnsi="Arimo" w:eastAsia="Arimo"/>
                <w:b/>
                <w:i w:val="0"/>
                <w:color w:val="173F5F"/>
                <w:sz w:val="11"/>
              </w:rPr>
              <w:t>Owner</w:t>
              <w:br/>
              <w:t>economics</w:t>
            </w:r>
          </w:p>
        </w:tc>
        <w:tc>
          <w:tcPr>
            <w:tcW w:type="dxa" w:w="1440"/>
            <w:shd w:fill="EEF3F7"/>
            <w:tcMar>
              <w:top w:w="50" w:type="dxa"/>
              <w:start w:w="35" w:type="dxa"/>
              <w:bottom w:w="50" w:type="dxa"/>
              <w:end w:w="35" w:type="dxa"/>
            </w:tcMar>
            <w:tcBorders>
              <w:top w:val="single" w:sz="6" w:color="7F98AA"/>
              <w:left w:val="single" w:sz="6" w:color="7F98AA"/>
              <w:bottom w:val="single" w:sz="6" w:color="7F98AA"/>
              <w:right w:val="single" w:sz="6" w:color="7F98AA"/>
            </w:tcBorders>
            <w:vAlign w:val="center"/>
          </w:tcPr>
          <w:p>
            <w:pPr>
              <w:spacing w:before="0" w:after="0" w:line="240" w:lineRule="auto"/>
              <w:jc w:val="center"/>
            </w:pPr>
            <w:r>
              <w:rPr>
                <w:rFonts w:ascii="Arimo" w:hAnsi="Arimo" w:eastAsia="Arimo"/>
                <w:b/>
                <w:i w:val="0"/>
                <w:color w:val="173F5F"/>
                <w:sz w:val="11"/>
              </w:rPr>
              <w:t>Shareholder</w:t>
              <w:br/>
              <w:t>capture</w:t>
            </w:r>
          </w:p>
        </w:tc>
        <w:tc>
          <w:tcPr>
            <w:tcW w:type="dxa" w:w="1440"/>
            <w:shd w:fill="EEF3F7"/>
            <w:tcMar>
              <w:top w:w="50" w:type="dxa"/>
              <w:start w:w="35" w:type="dxa"/>
              <w:bottom w:w="50" w:type="dxa"/>
              <w:end w:w="35" w:type="dxa"/>
            </w:tcMar>
            <w:tcBorders>
              <w:top w:val="single" w:sz="6" w:color="7F98AA"/>
              <w:left w:val="single" w:sz="6" w:color="7F98AA"/>
              <w:bottom w:val="single" w:sz="6" w:color="7F98AA"/>
              <w:right w:val="single" w:sz="6" w:color="7F98AA"/>
            </w:tcBorders>
            <w:vAlign w:val="center"/>
          </w:tcPr>
          <w:p>
            <w:pPr>
              <w:spacing w:before="0" w:after="0" w:line="240" w:lineRule="auto"/>
              <w:jc w:val="center"/>
            </w:pPr>
            <w:r>
              <w:rPr>
                <w:rFonts w:ascii="Arimo" w:hAnsi="Arimo" w:eastAsia="Arimo"/>
                <w:b/>
                <w:i w:val="0"/>
                <w:color w:val="173F5F"/>
                <w:sz w:val="11"/>
              </w:rPr>
              <w:t>Valuation</w:t>
            </w:r>
          </w:p>
        </w:tc>
      </w:tr>
    </w:tbl>
    <w:p>
      <w:pPr>
        <w:spacing w:after="0"/>
      </w:pPr>
    </w:p>
    <w:tbl>
      <w:tblPr>
        <w:tblW w:type="auto" w:w="0"/>
        <w:jc w:val="center"/>
        <w:tblLook w:firstColumn="1" w:firstRow="1" w:lastColumn="0" w:lastRow="0" w:noHBand="0" w:noVBand="1" w:val="04A0"/>
      </w:tblPr>
      <w:tblGrid>
        <w:gridCol w:w="10123"/>
      </w:tblGrid>
      <w:tr>
        <w:tc>
          <w:tcPr>
            <w:tcW w:type="dxa" w:w="10123"/>
            <w:shd w:fill="F3EEDB"/>
            <w:tcMar>
              <w:top w:w="40" w:type="dxa"/>
              <w:start w:w="60" w:type="dxa"/>
              <w:bottom w:w="40" w:type="dxa"/>
              <w:end w:w="60" w:type="dxa"/>
            </w:tcMar>
            <w:tcBorders>
              <w:top w:val="single" w:sz="5" w:color="B29A54"/>
              <w:left w:val="single" w:sz="5" w:color="B29A54"/>
              <w:bottom w:val="single" w:sz="5" w:color="B29A54"/>
              <w:right w:val="single" w:sz="5" w:color="B29A54"/>
            </w:tcBorders>
          </w:tcPr>
          <w:p>
            <w:pPr>
              <w:jc w:val="center"/>
            </w:pPr>
            <w:r>
              <w:rPr>
                <w:rFonts w:ascii="Arimo" w:hAnsi="Arimo" w:eastAsia="Arimo"/>
                <w:b/>
                <w:i w:val="0"/>
                <w:color w:val="8A6A12"/>
                <w:sz w:val="11"/>
              </w:rPr>
              <w:t>FINANCIAL VIABILITY &amp; CAPITAL GATES  |  working capital  |  maintenance capital  |  regulatory capital  |  financing  |  dilution  |  cohort closure</w:t>
            </w:r>
          </w:p>
        </w:tc>
      </w:tr>
    </w:tbl>
    <w:p>
      <w:pPr>
        <w:spacing w:after="0"/>
      </w:pPr>
    </w:p>
    <w:tbl>
      <w:tblPr>
        <w:tblW w:type="auto" w:w="0"/>
        <w:jc w:val="center"/>
        <w:tblLook w:firstColumn="1" w:firstRow="1" w:lastColumn="0" w:lastRow="0" w:noHBand="0" w:noVBand="1" w:val="04A0"/>
      </w:tblPr>
      <w:tblGrid>
        <w:gridCol w:w="10123"/>
      </w:tblGrid>
      <w:tr>
        <w:tc>
          <w:tcPr>
            <w:tcW w:type="dxa" w:w="10123"/>
            <w:shd w:fill="173F5F"/>
            <w:tcMar>
              <w:top w:w="35" w:type="dxa"/>
              <w:start w:w="60" w:type="dxa"/>
              <w:bottom w:w="35" w:type="dxa"/>
              <w:end w:w="60" w:type="dxa"/>
            </w:tcMar>
          </w:tcPr>
          <w:p>
            <w:pPr>
              <w:jc w:val="center"/>
            </w:pPr>
            <w:r>
              <w:rPr>
                <w:rFonts w:ascii="Arimo" w:hAnsi="Arimo" w:eastAsia="Arimo"/>
                <w:b/>
                <w:i w:val="0"/>
                <w:color w:val="FFFFFF"/>
                <w:sz w:val="11"/>
              </w:rPr>
              <w:t>A capability system is investable only when transmission is observable and falsifiable.</w:t>
            </w:r>
          </w:p>
        </w:tc>
      </w:tr>
    </w:tbl>
    <w:p>
      <w:pPr>
        <w:spacing w:before="40" w:after="60" w:line="240" w:lineRule="auto"/>
        <w:jc w:val="center"/>
      </w:pPr>
      <w:r>
        <w:rPr>
          <w:rFonts w:ascii="Noto Serif" w:hAnsi="Noto Serif" w:eastAsia="Noto Serif"/>
          <w:b w:val="0"/>
          <w:i/>
          <w:color w:val="696969"/>
          <w:sz w:val="13"/>
        </w:rPr>
        <w:t>Figure 2. Capability-to-economics transmission: the Company Agent adds causal economic architecture, Financial Viability and shareholder-capture gates without replacing Capability Science.</w:t>
      </w:r>
    </w:p>
    <w:tbl>
      <w:tblPr>
        <w:tblW w:type="auto" w:w="0"/>
        <w:jc w:val="center"/>
        <w:tblLayout w:type="fixed"/>
        <w:tblLook w:firstColumn="1" w:firstRow="1" w:lastColumn="0" w:lastRow="0" w:noHBand="0" w:noVBand="1" w:val="04A0"/>
      </w:tblPr>
      <w:tblGrid>
        <w:gridCol w:w="5061"/>
        <w:gridCol w:w="5061"/>
      </w:tblGrid>
      <w:tr>
        <w:trPr>
          <w:tblHeader w:val="true"/>
          <w:cantSplit/>
        </w:trPr>
        <w:tc>
          <w:tcPr>
            <w:tcW w:type="dxa" w:w="2880"/>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Economic context</w:t>
            </w:r>
          </w:p>
        </w:tc>
        <w:tc>
          <w:tcPr>
            <w:tcW w:type="dxa" w:w="7200"/>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Primary conversion bridge</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Merchant / distributor</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Revenue -&gt; gross profit -&gt; working capital / finance -&gt; owner free cash flow.</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Marketplace</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Transaction value -&gt; realised take rate -&gt; contribution -&gt; settlement/working capital -&gt; owner cash.</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Project / IP</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Project capital -&gt; launch cash -&gt; catalogue/franchise cash -&gt; cohort return.</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Development innovation</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Cash burn -&gt; milestone probability uplift -&gt; commercial transition -&gt; dilution-adjusted owner value.</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Insurance</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Premium/risk -&gt; underwriting result + float return -&gt; required capital -&gt; distributable capital.</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Banking</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Deposits/assets -&gt; net interest margin (NIM) / fees - credit cost - required Common Equity Tier 1 (CET1) -&gt; distributable earnings.</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Infrastructure</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Traffic/contract cash -&gt; lifecycle capital + financing -&gt; recurring Free Cash over finite rights.</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Resource</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Realised price/volume/cost -&gt; OCF -&gt; sustaining/replacement/growth capital -&gt; owner free cash flow.</w:t>
            </w:r>
          </w:p>
        </w:tc>
      </w:tr>
    </w:tbl>
    <w:p>
      <w:pPr>
        <w:spacing w:after="0"/>
      </w:pPr>
    </w:p>
    <w:p>
      <w:pPr>
        <w:spacing w:before="0" w:after="80" w:line="250" w:lineRule="auto"/>
      </w:pPr>
      <w:r>
        <w:rPr>
          <w:rFonts w:ascii="Noto Serif" w:hAnsi="Noto Serif" w:eastAsia="Noto Serif"/>
          <w:b w:val="0"/>
          <w:i w:val="0"/>
          <w:color w:val="202428"/>
          <w:sz w:val="18"/>
        </w:rPr>
        <w:t>For every material capability, the analyst states what productive outcome must be produced, how that outcome will be observed, which economic variable it should change, what capital is required and what evidence would falsify the claimed transmission. A capability map that cannot be translated into economics remains organisational description, not investment analysis.</w:t>
      </w:r>
    </w:p>
    <w:p>
      <w:pPr>
        <w:pStyle w:val="Heading2"/>
      </w:pPr>
      <w:r>
        <w:rPr>
          <w:rFonts w:ascii="Arimo" w:hAnsi="Arimo" w:eastAsia="Arimo"/>
          <w:b/>
          <w:i w:val="0"/>
          <w:color w:val="173F5F"/>
          <w:sz w:val="23"/>
        </w:rPr>
        <w:t>10. Financial Viability</w:t>
      </w:r>
    </w:p>
    <w:p>
      <w:pPr>
        <w:spacing w:before="0" w:after="80" w:line="250" w:lineRule="auto"/>
      </w:pPr>
      <w:r>
        <w:rPr>
          <w:rFonts w:ascii="Noto Serif" w:hAnsi="Noto Serif" w:eastAsia="Noto Serif"/>
          <w:b w:val="0"/>
          <w:i w:val="0"/>
          <w:color w:val="202428"/>
          <w:sz w:val="18"/>
        </w:rPr>
        <w:t>Financial Viability is an independent capability gate. It asks whether the enterprise can reach its next economic closure point without value-destructive financing. The relevant evidence differs by economic engine. A mature commercial enterprise that repeatedly needs discounted equity to fund ordinary operations is not equivalent to a development-stage enterprise deliberately consuming funded runway to reach a defined value-inflecting milestone.</w:t>
      </w:r>
    </w:p>
    <w:tbl>
      <w:tblPr>
        <w:tblW w:type="auto" w:w="0"/>
        <w:jc w:val="center"/>
        <w:tblLayout w:type="fixed"/>
        <w:tblLook w:firstColumn="1" w:firstRow="1" w:lastColumn="0" w:lastRow="0" w:noHBand="0" w:noVBand="1" w:val="04A0"/>
      </w:tblPr>
      <w:tblGrid>
        <w:gridCol w:w="5061"/>
        <w:gridCol w:w="5061"/>
      </w:tblGrid>
      <w:tr>
        <w:trPr>
          <w:tblHeader w:val="true"/>
          <w:cantSplit/>
        </w:trPr>
        <w:tc>
          <w:tcPr>
            <w:tcW w:type="dxa" w:w="3168"/>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Viability state</w:t>
            </w:r>
          </w:p>
        </w:tc>
        <w:tc>
          <w:tcPr>
            <w:tcW w:type="dxa" w:w="6912"/>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Interpretation</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Self-funded</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Ordinary operations and necessary capability renewal are funded internally.</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Planned externally funded transition</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External capital can be rational where it finances a defined milestone or project whose expected value exceeds financing and dilution cost.</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Capital-dependent</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Repeated external funding remains necessary despite commercial scale or stated maturity.</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Stress-funded</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Creditors, emergency debt or discounted equity finance ordinary survival; Financial Viability is downgraded.</w:t>
            </w:r>
          </w:p>
        </w:tc>
      </w:tr>
    </w:tbl>
    <w:p>
      <w:pPr>
        <w:spacing w:after="0"/>
      </w:pPr>
    </w:p>
    <w:p>
      <w:pPr>
        <w:spacing w:before="0" w:after="80" w:line="250" w:lineRule="auto"/>
      </w:pPr>
      <w:r>
        <w:rPr>
          <w:rFonts w:ascii="Noto Serif" w:hAnsi="Noto Serif" w:eastAsia="Noto Serif"/>
          <w:b w:val="0"/>
          <w:i w:val="0"/>
          <w:color w:val="202428"/>
          <w:sz w:val="18"/>
        </w:rPr>
        <w:t>Working capital is classified causally rather than by accounting sign. Negative working capital can be Structural Float when customers pay immediately and supplier terms are ordinary and durable; Growth Funding when liabilities scale normally with activity; or Stress Funding when creditors finance survival because liquidity or supplier quality has deteriorated. Auditor going-concern language, covenant pressure, regulatory capital, liquidity coverage, runway and supplier terms are independent evidence gates where relevant.</w:t>
      </w:r>
    </w:p>
    <w:p>
      <w:pPr>
        <w:pStyle w:val="Heading2"/>
      </w:pPr>
      <w:r>
        <w:rPr>
          <w:rFonts w:ascii="Arimo" w:hAnsi="Arimo" w:eastAsia="Arimo"/>
          <w:b/>
          <w:i w:val="0"/>
          <w:color w:val="173F5F"/>
          <w:sz w:val="23"/>
        </w:rPr>
        <w:t>11. Capital-allocation closure</w:t>
      </w:r>
    </w:p>
    <w:p>
      <w:pPr>
        <w:spacing w:before="0" w:after="80" w:line="250" w:lineRule="auto"/>
      </w:pPr>
      <w:r>
        <w:rPr>
          <w:rFonts w:ascii="Noto Serif" w:hAnsi="Noto Serif" w:eastAsia="Noto Serif"/>
          <w:b w:val="0"/>
          <w:i w:val="0"/>
          <w:color w:val="202428"/>
          <w:sz w:val="18"/>
        </w:rPr>
        <w:t>CIF v2.0 separates execution success from capital-allocation success. An acquisition, project, automation programme, development title, concession, clinical programme or transformation initiative remains an open capital cohort until total economic capital, integration or transition cost, working capital, financing and dilution are reconciled against realised owner return.</w:t>
      </w:r>
    </w:p>
    <w:tbl>
      <w:tblPr>
        <w:tblW w:type="auto" w:w="0"/>
        <w:jc w:val="center"/>
        <w:tblLayout w:type="fixed"/>
        <w:tblLook w:firstColumn="1" w:firstRow="1" w:lastColumn="0" w:lastRow="0" w:noHBand="0" w:noVBand="1" w:val="04A0"/>
      </w:tblPr>
      <w:tblGrid>
        <w:gridCol w:w="5061"/>
        <w:gridCol w:w="5061"/>
      </w:tblGrid>
      <w:tr>
        <w:trPr>
          <w:tblHeader w:val="true"/>
          <w:cantSplit/>
        </w:trPr>
        <w:tc>
          <w:tcPr>
            <w:tcW w:type="dxa" w:w="3168"/>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Early evidence</w:t>
            </w:r>
          </w:p>
        </w:tc>
        <w:tc>
          <w:tcPr>
            <w:tcW w:type="dxa" w:w="6912"/>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Capital-allocation closure</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Project completed / product launched</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Cumulative owner cash and retained intrinsic value justify full economic capital.</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Synergies announced or achieved</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Post-tax incremental return on total capital closes above the required return.</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Revenue grows after investment</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Contribution and owner cash exceed incremental capital and funding burden.</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Acquired capability survives</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Shareholder value after purchase price, integration, financing and dilution is positive.</w:t>
            </w:r>
          </w:p>
        </w:tc>
      </w:tr>
    </w:tbl>
    <w:p>
      <w:pPr>
        <w:spacing w:after="0"/>
      </w:pPr>
    </w:p>
    <w:p>
      <w:pPr>
        <w:spacing w:before="0" w:after="80" w:line="250" w:lineRule="auto"/>
      </w:pPr>
      <w:r>
        <w:rPr>
          <w:rFonts w:ascii="Noto Serif" w:hAnsi="Noto Serif" w:eastAsia="Noto Serif"/>
          <w:b w:val="0"/>
          <w:i w:val="0"/>
          <w:color w:val="202428"/>
          <w:sz w:val="18"/>
        </w:rPr>
        <w:t>This rule prevents research from declaring victory because capability exists inside the enterprise while the capital used to acquire or build that capability has not produced an adequate return for owners.</w:t>
      </w:r>
    </w:p>
    <w:p>
      <w:pPr>
        <w:pStyle w:val="Heading2"/>
      </w:pPr>
      <w:r>
        <w:rPr>
          <w:rFonts w:ascii="Arimo" w:hAnsi="Arimo" w:eastAsia="Arimo"/>
          <w:b/>
          <w:i w:val="0"/>
          <w:color w:val="173F5F"/>
          <w:sz w:val="23"/>
        </w:rPr>
        <w:t>12. Shareholder Value Capture</w:t>
      </w:r>
    </w:p>
    <w:p>
      <w:pPr>
        <w:spacing w:before="0" w:after="80" w:line="250" w:lineRule="auto"/>
      </w:pPr>
      <w:r>
        <w:rPr>
          <w:rFonts w:ascii="Noto Serif" w:hAnsi="Noto Serif" w:eastAsia="Noto Serif"/>
          <w:b w:val="0"/>
          <w:i w:val="0"/>
          <w:color w:val="202428"/>
          <w:sz w:val="18"/>
        </w:rPr>
        <w:t>Shareholder Value Capture is now an explicit CIF stage. Enterprise value creation is insufficient. The framework asks how much value accrues to the continuing shareholder after economically necessary working capital, maintenance and growth capability capital, financing claims, regulatory capital, options, convertibles, contingent consideration and dilution.</w:t>
      </w:r>
    </w:p>
    <w:tbl>
      <w:tblPr>
        <w:tblW w:type="auto" w:w="0"/>
        <w:jc w:val="center"/>
        <w:tblLayout w:type="fixed"/>
        <w:tblLook w:firstColumn="1" w:firstRow="1" w:lastColumn="0" w:lastRow="0" w:noHBand="0" w:noVBand="1" w:val="04A0"/>
      </w:tblPr>
      <w:tblGrid>
        <w:gridCol w:w="5061"/>
        <w:gridCol w:w="5061"/>
      </w:tblGrid>
      <w:tr>
        <w:trPr>
          <w:tblHeader w:val="true"/>
          <w:cantSplit/>
        </w:trPr>
        <w:tc>
          <w:tcPr>
            <w:tcW w:type="dxa" w:w="2880"/>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Capture state</w:t>
            </w:r>
          </w:p>
        </w:tc>
        <w:tc>
          <w:tcPr>
            <w:tcW w:type="dxa" w:w="7200"/>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Interpretation</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Positive capture</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Enterprise value and owner cash rise faster than the economic diluted claim denominator.</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Neutral capture</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Enterprise growth is largely absorbed by new capital claims.</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Negative capture</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Economic diluted claims grow faster than enterprise value or owner cash.</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Endogenous dilution</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Future financing need is part of the valuation state, not an afterthought.</w:t>
            </w:r>
          </w:p>
        </w:tc>
      </w:tr>
    </w:tbl>
    <w:p>
      <w:pPr>
        <w:spacing w:after="0"/>
      </w:pPr>
    </w:p>
    <w:p>
      <w:pPr>
        <w:spacing w:before="0" w:after="80" w:line="250" w:lineRule="auto"/>
      </w:pPr>
      <w:r>
        <w:rPr>
          <w:rFonts w:ascii="Noto Serif" w:hAnsi="Noto Serif" w:eastAsia="Noto Serif"/>
          <w:b w:val="0"/>
          <w:i w:val="0"/>
          <w:color w:val="202428"/>
          <w:sz w:val="18"/>
        </w:rPr>
        <w:t>This stage closes a gap that can otherwise survive both capability analysis and enterprise valuation: the organisation may improve while the continuing shareholder receives little benefit because repeated capital formation transfers value to new claimants.</w:t>
      </w:r>
    </w:p>
    <w:p>
      <w:pPr>
        <w:pStyle w:val="Heading2"/>
      </w:pPr>
      <w:r>
        <w:rPr>
          <w:rFonts w:ascii="Arimo" w:hAnsi="Arimo" w:eastAsia="Arimo"/>
          <w:b/>
          <w:i w:val="0"/>
          <w:color w:val="173F5F"/>
          <w:sz w:val="23"/>
        </w:rPr>
        <w:t>13. Valuation is a state, not a clock</w:t>
      </w:r>
    </w:p>
    <w:p>
      <w:pPr>
        <w:spacing w:before="0" w:after="80" w:line="250" w:lineRule="auto"/>
      </w:pPr>
      <w:r>
        <w:rPr>
          <w:rFonts w:ascii="Noto Serif" w:hAnsi="Noto Serif" w:eastAsia="Noto Serif"/>
          <w:b w:val="0"/>
          <w:i w:val="0"/>
          <w:color w:val="202428"/>
          <w:sz w:val="18"/>
        </w:rPr>
        <w:t>Celerity valuation remains conditional on an economic state. Forecast years organise a model, but time itself does not create value. The model specifies the operating conditions, capability evidence, economic-engine conversion, capital requirements, Financial Viability and economic claim denominator that make forecast owner economics possible.</w:t>
      </w:r>
    </w:p>
    <w:tbl>
      <w:tblPr>
        <w:tblW w:type="auto" w:w="0"/>
        <w:jc w:val="center"/>
        <w:tblLayout w:type="fixed"/>
        <w:tblLook w:firstColumn="1" w:firstRow="1" w:lastColumn="0" w:lastRow="0" w:noHBand="0" w:noVBand="1" w:val="04A0"/>
      </w:tblPr>
      <w:tblGrid>
        <w:gridCol w:w="5061"/>
        <w:gridCol w:w="5061"/>
      </w:tblGrid>
      <w:tr>
        <w:trPr>
          <w:tblHeader w:val="true"/>
          <w:cantSplit/>
        </w:trPr>
        <w:tc>
          <w:tcPr>
            <w:tcW w:type="dxa" w:w="2880"/>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Valuation discipline</w:t>
            </w:r>
          </w:p>
        </w:tc>
        <w:tc>
          <w:tcPr>
            <w:tcW w:type="dxa" w:w="7200"/>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Required treatment</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Current state</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Use current economics and current evidence; do not smuggle future success into the base.</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Central future state</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State capability, engine economics, volume, price, margin, capital, financing and diluted claims required.</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Downside state</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Identify capability, viability or external failures causing permanent or prolonged impairment.</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Upside state</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Require stronger but observable evidence; do not capitalise narrative optionality by default.</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Market-implied state</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Reverse-engineer what current price assumes across engine and state transitions.</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Entry-value discipline</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Translate required returns back into the price compatible with central/downside economics.</w:t>
            </w:r>
          </w:p>
        </w:tc>
      </w:tr>
    </w:tbl>
    <w:p>
      <w:pPr>
        <w:spacing w:after="0"/>
      </w:pPr>
    </w:p>
    <w:p>
      <w:pPr>
        <w:spacing w:before="0" w:after="80" w:line="250" w:lineRule="auto"/>
      </w:pPr>
      <w:r>
        <w:rPr>
          <w:rFonts w:ascii="Noto Serif" w:hAnsi="Noto Serif" w:eastAsia="Noto Serif"/>
          <w:b w:val="0"/>
          <w:i w:val="0"/>
          <w:color w:val="202428"/>
          <w:sz w:val="18"/>
        </w:rPr>
        <w:t>Method selection is company-specific and archetype-specific. Discounted cash flow (DCF), reverse DCF, Owner Free Cash Flow (Owner FCF), residual income, distributable capital, concession-duration cash flow, asset value, dividend economics and risked program net present value (NPV) are tools rather than doctrines. Conventional industrial free cash flow is not imposed on banks or insurers; finite concession rights are not treated as unearned perpetuities; development-stage value incorporates runway and expected dilution; capital required to preserve and renew productive capability is not casually added back.</w:t>
      </w:r>
    </w:p>
    <w:p>
      <w:pPr>
        <w:pStyle w:val="Heading2"/>
      </w:pPr>
      <w:r>
        <w:rPr>
          <w:rFonts w:ascii="Arimo" w:hAnsi="Arimo" w:eastAsia="Arimo"/>
          <w:b/>
          <w:i w:val="0"/>
          <w:color w:val="173F5F"/>
          <w:sz w:val="23"/>
        </w:rPr>
        <w:t>14. Decision Risk Overlay</w:t>
      </w:r>
    </w:p>
    <w:p>
      <w:pPr>
        <w:spacing w:before="0" w:after="80" w:line="250" w:lineRule="auto"/>
      </w:pPr>
      <w:r>
        <w:rPr>
          <w:rFonts w:ascii="Noto Serif" w:hAnsi="Noto Serif" w:eastAsia="Noto Serif"/>
          <w:b w:val="0"/>
          <w:i w:val="0"/>
          <w:color w:val="202428"/>
          <w:sz w:val="18"/>
        </w:rPr>
        <w:t>Decision Risk applies across every layer. In addition to base-rate neglect, anchoring, narrative capture, false precision, recency bias and confirmation bias, v2.0 adds controls for activity/economics confusion, management-representation reset, financing and dilution omission, evidence transfer between economic engines and value double counting.</w:t>
      </w:r>
    </w:p>
    <w:tbl>
      <w:tblPr>
        <w:tblW w:type="auto" w:w="0"/>
        <w:jc w:val="center"/>
        <w:tblLayout w:type="fixed"/>
        <w:tblLook w:firstColumn="1" w:firstRow="1" w:lastColumn="0" w:lastRow="0" w:noHBand="0" w:noVBand="1" w:val="04A0"/>
      </w:tblPr>
      <w:tblGrid>
        <w:gridCol w:w="5061"/>
        <w:gridCol w:w="5061"/>
      </w:tblGrid>
      <w:tr>
        <w:trPr>
          <w:tblHeader w:val="true"/>
          <w:cantSplit/>
        </w:trPr>
        <w:tc>
          <w:tcPr>
            <w:tcW w:type="dxa" w:w="3744"/>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Decision-risk question</w:t>
            </w:r>
          </w:p>
        </w:tc>
        <w:tc>
          <w:tcPr>
            <w:tcW w:type="dxa" w:w="6336"/>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Control</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Are we using base rates?</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Compare with relevant prior cycles, contexts and failure modes.</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Are we anchored to market price?</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Build valuation independently and use reverse valuation separately.</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Are we seduced by management narrative?</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Maintain a Management Representation Ledger with dated closure tests.</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Are we mistaking activity for economics?</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Require archetype-specific conversion.</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Are we ignoring financing or dilution?</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Run independent Financial Viability and claim-denominator tests.</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Are we transferring evidence across engines?</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Evidence upgrades only the capability/engine that causally produced it unless transfer is separately proven.</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Are we double counting value?</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Use a Valuation Attribution Ledger.</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Are we rewriting history?</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Persistent baseline and state-delta versioning.</w:t>
            </w:r>
          </w:p>
        </w:tc>
      </w:tr>
    </w:tbl>
    <w:p>
      <w:pPr>
        <w:spacing w:after="0"/>
      </w:pPr>
    </w:p>
    <w:p>
      <w:pPr>
        <w:keepNext/>
        <w:spacing w:before="200" w:after="80" w:line="240" w:lineRule="auto"/>
      </w:pPr>
      <w:r>
        <w:rPr>
          <w:rFonts w:ascii="Arimo" w:hAnsi="Arimo" w:eastAsia="Arimo"/>
          <w:b/>
          <w:i w:val="0"/>
          <w:color w:val="173F5F"/>
          <w:sz w:val="33"/>
        </w:rPr>
        <w:t>Part III - Portfolio, resilience and path risk</w:t>
      </w:r>
    </w:p>
    <w:p>
      <w:pPr>
        <w:pStyle w:val="Heading2"/>
      </w:pPr>
      <w:r>
        <w:rPr>
          <w:rFonts w:ascii="Arimo" w:hAnsi="Arimo" w:eastAsia="Arimo"/>
          <w:b/>
          <w:i w:val="0"/>
          <w:color w:val="173F5F"/>
          <w:sz w:val="23"/>
        </w:rPr>
        <w:t>15. Portfolio construction</w:t>
      </w:r>
    </w:p>
    <w:p>
      <w:pPr>
        <w:spacing w:before="0" w:after="80" w:line="250" w:lineRule="auto"/>
      </w:pPr>
      <w:r>
        <w:rPr>
          <w:rFonts w:ascii="Noto Serif" w:hAnsi="Noto Serif" w:eastAsia="Noto Serif"/>
          <w:b w:val="0"/>
          <w:i w:val="0"/>
          <w:color w:val="202428"/>
          <w:sz w:val="18"/>
        </w:rPr>
        <w:t>Portfolio construction asks a different question from security selection: how much exposure is rational given the security, the evidence and the rest of the portfolio? The same enterprise can justify different portfolio weights at different prices or in different portfolio states. Sizing considers classification, evidence quality, valuation asymmetry, downside severity, Financial Viability, liquidity, correlation, concentration, time horizon, Decision Risk and monitoring clarity. Exact size bands remain mandate-specific implementation parameters.</w:t>
      </w:r>
    </w:p>
    <w:p>
      <w:pPr>
        <w:spacing w:before="0" w:after="80" w:line="250" w:lineRule="auto"/>
      </w:pPr>
      <w:r>
        <w:rPr>
          <w:rFonts w:ascii="Noto Serif" w:hAnsi="Noto Serif" w:eastAsia="Noto Serif"/>
          <w:b w:val="0"/>
          <w:i w:val="0"/>
          <w:color w:val="202428"/>
          <w:sz w:val="18"/>
        </w:rPr>
        <w:t>A high CIF score does not automatically justify a large portfolio weight. High capability with excessive valuation may warrant patience. Cheap valuation with weak capability or Financial Viability may remain a special situation. A binding constraint can justify lower exposure even when aggregate policy scores are high.</w:t>
      </w:r>
    </w:p>
    <w:p>
      <w:pPr>
        <w:pStyle w:val="Heading2"/>
      </w:pPr>
      <w:r>
        <w:rPr>
          <w:rFonts w:ascii="Arimo" w:hAnsi="Arimo" w:eastAsia="Arimo"/>
          <w:b/>
          <w:i w:val="0"/>
          <w:color w:val="173F5F"/>
          <w:sz w:val="23"/>
        </w:rPr>
        <w:t>16. Celerity Portfolio State &amp; Resilience Research (CPSR)</w:t>
      </w:r>
    </w:p>
    <w:p>
      <w:pPr>
        <w:spacing w:before="0" w:after="80" w:line="250" w:lineRule="auto"/>
      </w:pPr>
      <w:r>
        <w:rPr>
          <w:rFonts w:ascii="Noto Serif" w:hAnsi="Noto Serif" w:eastAsia="Noto Serif"/>
          <w:b w:val="0"/>
          <w:i w:val="0"/>
          <w:color w:val="202428"/>
          <w:sz w:val="18"/>
        </w:rPr>
        <w:t>Celerity Portfolio State &amp; Resilience Research (CPSR) is a separate controlled publication and methodology. CIF supplies the company, valuation and portfolio state; CPSR analyses the risk of loss through Threat and Vulnerability and diagnoses the nature of loss once it occurs. The purpose is not to duplicate the Company Agent. Company capability and Financial Viability enter CPSR as vulnerability evidence; CPSR then asks how external shocks, financing conditions, liquidity, duration and tail exposures can translate that vulnerability into loss.</w:t>
      </w:r>
    </w:p>
    <w:p>
      <w:pPr>
        <w:spacing w:before="0" w:after="80" w:line="250" w:lineRule="auto"/>
      </w:pPr>
      <w:r>
        <w:rPr>
          <w:rFonts w:ascii="Noto Serif" w:hAnsi="Noto Serif" w:eastAsia="Noto Serif"/>
          <w:b w:val="0"/>
          <w:i w:val="0"/>
          <w:color w:val="202428"/>
          <w:sz w:val="18"/>
        </w:rPr>
        <w:t>CPSR distinguishes market repricing from state-dependent economic loss, structural loss and continuity loss. That distinction matters because a temporary drawdown can leave the long-horizon ownership thesis intact, while a superficially similar price decline can reflect permanent deterioration in enterprise economics or financing capacity.</w:t>
      </w:r>
    </w:p>
    <w:p>
      <w:pPr>
        <w:pStyle w:val="Heading2"/>
      </w:pPr>
      <w:r>
        <w:rPr>
          <w:rFonts w:ascii="Arimo" w:hAnsi="Arimo" w:eastAsia="Arimo"/>
          <w:b/>
          <w:i w:val="0"/>
          <w:color w:val="173F5F"/>
          <w:sz w:val="23"/>
        </w:rPr>
        <w:t>17. Valuation, Volatility and the Price of Protection (CMVTR)</w:t>
      </w:r>
    </w:p>
    <w:p>
      <w:pPr>
        <w:spacing w:before="0" w:after="80" w:line="250" w:lineRule="auto"/>
      </w:pPr>
      <w:r>
        <w:rPr>
          <w:rFonts w:ascii="Noto Serif" w:hAnsi="Noto Serif" w:eastAsia="Noto Serif"/>
          <w:b w:val="0"/>
          <w:i w:val="0"/>
          <w:color w:val="202428"/>
          <w:sz w:val="18"/>
        </w:rPr>
        <w:t>Valuation, Volatility and the Price of Protection (CMVTR) remains Celerity's controlled methodology for cyclical-equity path risk and dynamic portfolio protection. It sits downstream of fundamental ownership, structural valuation and portfolio role. It separates structural value, physical market risk, the market price of risk embedded in options and the economics of risk transfer before reconnecting them in a portfolio decision.</w:t>
      </w:r>
    </w:p>
    <w:p>
      <w:pPr>
        <w:spacing w:before="0" w:after="80" w:line="250" w:lineRule="auto"/>
      </w:pPr>
      <w:r>
        <w:rPr>
          <w:rFonts w:ascii="Noto Serif" w:hAnsi="Noto Serif" w:eastAsia="Noto Serif"/>
          <w:b w:val="0"/>
          <w:i w:val="0"/>
          <w:color w:val="202428"/>
          <w:sz w:val="18"/>
        </w:rPr>
        <w:t>CMVTR is not an autonomous trading engine. Fundamental research determines whether the business should be owned, state valuation estimates what it is worth, portfolio construction determines how much should be owned, and CMVTR assesses the damaging path between price and value and the economics of transferring that risk. Research-stage or shadow-stage components are not allowed to masquerade as validated production signals.</w:t>
      </w:r>
    </w:p>
    <w:p>
      <w:pPr>
        <w:pStyle w:val="Heading2"/>
      </w:pPr>
      <w:r>
        <w:rPr>
          <w:rFonts w:ascii="Arimo" w:hAnsi="Arimo" w:eastAsia="Arimo"/>
          <w:b/>
          <w:i w:val="0"/>
          <w:color w:val="173F5F"/>
          <w:sz w:val="23"/>
        </w:rPr>
        <w:t>18. Controlled interfaces and decision rights</w:t>
      </w:r>
    </w:p>
    <w:tbl>
      <w:tblPr>
        <w:tblW w:type="auto" w:w="0"/>
        <w:jc w:val="center"/>
        <w:tblLayout w:type="fixed"/>
        <w:tblLook w:firstColumn="1" w:firstRow="1" w:lastColumn="0" w:lastRow="0" w:noHBand="0" w:noVBand="1" w:val="04A0"/>
      </w:tblPr>
      <w:tblGrid>
        <w:gridCol w:w="3374"/>
        <w:gridCol w:w="3374"/>
        <w:gridCol w:w="3374"/>
      </w:tblGrid>
      <w:tr>
        <w:trPr>
          <w:tblHeader w:val="true"/>
          <w:cantSplit/>
        </w:trPr>
        <w:tc>
          <w:tcPr>
            <w:tcW w:type="dxa" w:w="1584"/>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System</w:t>
            </w:r>
          </w:p>
        </w:tc>
        <w:tc>
          <w:tcPr>
            <w:tcW w:type="dxa" w:w="4320"/>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Primary question</w:t>
            </w:r>
          </w:p>
        </w:tc>
        <w:tc>
          <w:tcPr>
            <w:tcW w:type="dxa" w:w="4176"/>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Interface</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CIF</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Should the security be owned, at what value and in what portfolio role?</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Master investment decision architecture.</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Company Agent</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What economic machine is the enterprise and what state is it in?</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Persistent company state, viability, capture and valuation inputs.</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CPSR</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What is the risk of loss and what kind of loss would it be?</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Consumes company vulnerability/capability and external Threat state.</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CMVTR</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What is the damaging price path and what is the price/economics of protection?</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Consumes structural value, portfolio role and validated market-risk inputs.</w:t>
            </w:r>
          </w:p>
        </w:tc>
      </w:tr>
    </w:tbl>
    <w:p>
      <w:pPr>
        <w:spacing w:after="0"/>
      </w:pPr>
    </w:p>
    <w:p>
      <w:pPr>
        <w:spacing w:before="0" w:after="80" w:line="250" w:lineRule="auto"/>
      </w:pPr>
      <w:r>
        <w:rPr>
          <w:rFonts w:ascii="Noto Serif" w:hAnsi="Noto Serif" w:eastAsia="Noto Serif"/>
          <w:b w:val="0"/>
          <w:i w:val="0"/>
          <w:color w:val="202428"/>
          <w:sz w:val="18"/>
        </w:rPr>
        <w:t>Human decision rights are retained throughout. Quantitative models and structured state files create a common language; they do not replace ownership judgment. Material overrides are recorded so that discretion itself can later be evaluated.</w:t>
      </w:r>
    </w:p>
    <w:p>
      <w:pPr>
        <w:keepNext/>
        <w:spacing w:before="200" w:after="80" w:line="240" w:lineRule="auto"/>
      </w:pPr>
      <w:r>
        <w:rPr>
          <w:rFonts w:ascii="Arimo" w:hAnsi="Arimo" w:eastAsia="Arimo"/>
          <w:b/>
          <w:i w:val="0"/>
          <w:color w:val="173F5F"/>
          <w:sz w:val="33"/>
        </w:rPr>
        <w:t>Part IV - Evidence and robustness</w:t>
      </w:r>
    </w:p>
    <w:p>
      <w:pPr>
        <w:pStyle w:val="Heading2"/>
      </w:pPr>
      <w:r>
        <w:rPr>
          <w:rFonts w:ascii="Arimo" w:hAnsi="Arimo" w:eastAsia="Arimo"/>
          <w:b/>
          <w:i w:val="0"/>
          <w:color w:val="173F5F"/>
          <w:sz w:val="23"/>
        </w:rPr>
        <w:t>19. Evidence hierarchy and analytical firewalls</w:t>
      </w:r>
    </w:p>
    <w:p>
      <w:pPr>
        <w:spacing w:before="0" w:after="80" w:line="250" w:lineRule="auto"/>
      </w:pPr>
      <w:r>
        <w:rPr>
          <w:rFonts w:ascii="Noto Serif" w:hAnsi="Noto Serif" w:eastAsia="Noto Serif"/>
          <w:b w:val="0"/>
          <w:i w:val="0"/>
          <w:color w:val="202428"/>
          <w:sz w:val="18"/>
        </w:rPr>
        <w:t>The framework is commercially useful only if another analyst can understand why a conclusion was reached and what would change it. Each company research record separates source-derived facts, controlled Celerity assumptions and Celerity analytical inferences.</w:t>
      </w:r>
    </w:p>
    <w:tbl>
      <w:tblPr>
        <w:tblW w:type="auto" w:w="0"/>
        <w:jc w:val="center"/>
        <w:tblLayout w:type="fixed"/>
        <w:tblLook w:firstColumn="1" w:firstRow="1" w:lastColumn="0" w:lastRow="0" w:noHBand="0" w:noVBand="1" w:val="04A0"/>
      </w:tblPr>
      <w:tblGrid>
        <w:gridCol w:w="3374"/>
        <w:gridCol w:w="3374"/>
        <w:gridCol w:w="3374"/>
      </w:tblGrid>
      <w:tr>
        <w:trPr>
          <w:tblHeader w:val="true"/>
          <w:cantSplit/>
        </w:trPr>
        <w:tc>
          <w:tcPr>
            <w:tcW w:type="dxa" w:w="2304"/>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Layer</w:t>
            </w:r>
          </w:p>
        </w:tc>
        <w:tc>
          <w:tcPr>
            <w:tcW w:type="dxa" w:w="4176"/>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Examples</w:t>
            </w:r>
          </w:p>
        </w:tc>
        <w:tc>
          <w:tcPr>
            <w:tcW w:type="dxa" w:w="3600"/>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Control</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Source-derived facts</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Results, filings, guidance, regulator findings, contracts, announcements.</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Citation, publication date, availability date, source authority.</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Controlled assumptions</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Commodity paths, FX convention, payout, required return, terminal convention, model horizon.</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Assumption register and version.</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Analytical inferences</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Engine classification, capability state, binding constraint, viability state, valuation and thesis consequence.</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Explicit Celerity label, uncertainty and falsification condition.</w:t>
            </w:r>
          </w:p>
        </w:tc>
      </w:tr>
    </w:tbl>
    <w:p>
      <w:pPr>
        <w:spacing w:after="0"/>
      </w:pPr>
    </w:p>
    <w:p>
      <w:pPr>
        <w:spacing w:before="0" w:after="80" w:line="250" w:lineRule="auto"/>
      </w:pPr>
      <w:r>
        <w:rPr>
          <w:rFonts w:ascii="Noto Serif" w:hAnsi="Noto Serif" w:eastAsia="Noto Serif"/>
          <w:b w:val="0"/>
          <w:i w:val="0"/>
          <w:color w:val="202428"/>
          <w:sz w:val="18"/>
        </w:rPr>
        <w:t>Point-in-time discipline remains especially important in historical evaluation. Later outcomes cannot leak backward into the assessment. The frozen Capability Science historical-validation design retains dated evidence packs, matched comparisons, contradiction protocols and blinding controls. The live Company Agent architecture does not retrospectively alter that experiment.</w:t>
      </w:r>
    </w:p>
    <w:p>
      <w:pPr>
        <w:pStyle w:val="Heading2"/>
      </w:pPr>
      <w:r>
        <w:rPr>
          <w:rFonts w:ascii="Arimo" w:hAnsi="Arimo" w:eastAsia="Arimo"/>
          <w:b/>
          <w:i w:val="0"/>
          <w:color w:val="173F5F"/>
          <w:sz w:val="23"/>
        </w:rPr>
        <w:t>20. Historical paired-company research</w:t>
      </w:r>
    </w:p>
    <w:p>
      <w:pPr>
        <w:spacing w:before="0" w:after="80" w:line="250" w:lineRule="auto"/>
      </w:pPr>
      <w:r>
        <w:rPr>
          <w:rFonts w:ascii="Noto Serif" w:hAnsi="Noto Serif" w:eastAsia="Noto Serif"/>
          <w:b w:val="0"/>
          <w:i w:val="0"/>
          <w:color w:val="202428"/>
          <w:sz w:val="18"/>
        </w:rPr>
        <w:t>Celerity continues to use historical paired-company assessments as a research laboratory for the capability layer. The purpose is not to claim that a small pilot proves predictive power. It is to stress the method against contemporaneously credible alternatives and identify what the framework discriminates.</w:t>
      </w:r>
    </w:p>
    <w:p>
      <w:pPr>
        <w:spacing w:before="0" w:after="80" w:line="250" w:lineRule="auto"/>
      </w:pPr>
      <w:r>
        <w:rPr>
          <w:rFonts w:ascii="Noto Serif" w:hAnsi="Noto Serif" w:eastAsia="Noto Serif"/>
          <w:b w:val="0"/>
          <w:i w:val="0"/>
          <w:color w:val="202428"/>
          <w:sz w:val="18"/>
        </w:rPr>
        <w:t>The principal pilot lesson remains that strong enterprises can score similarly on static capability domains. More discriminating information appears in trajectory, transferability, adaptability, reinforcement, capital-allocation direction, whether scale improves the customer proposition and whether one capability makes the next capability cheaper or easier to form. This finding remains consistent with the richer Company Agent architecture.</w:t>
      </w:r>
    </w:p>
    <w:p>
      <w:pPr>
        <w:pStyle w:val="Heading2"/>
      </w:pPr>
      <w:r>
        <w:rPr>
          <w:rFonts w:ascii="Arimo" w:hAnsi="Arimo" w:eastAsia="Arimo"/>
          <w:b/>
          <w:i w:val="0"/>
          <w:color w:val="173F5F"/>
          <w:sz w:val="23"/>
        </w:rPr>
        <w:t>21. Contemporary cross-context calibration</w:t>
      </w:r>
    </w:p>
    <w:p>
      <w:pPr>
        <w:spacing w:before="0" w:after="80" w:line="250" w:lineRule="auto"/>
      </w:pPr>
      <w:r>
        <w:rPr>
          <w:rFonts w:ascii="Noto Serif" w:hAnsi="Noto Serif" w:eastAsia="Noto Serif"/>
          <w:b w:val="0"/>
          <w:i w:val="0"/>
          <w:color w:val="202428"/>
          <w:sz w:val="18"/>
        </w:rPr>
        <w:t>Since v1.2, the live framework has been stress-tested across materially different economic contexts rather than only telecommunications and resources. The calibration set spans intermediary/loyalty economics, project/IP, diagnostics, radiopharma, grocery retail, insurance, banking, toll-road concessions, pre-commercial medical devices, technology distribution, diversified resources, telecommunications and recurring healthcare software.</w:t>
      </w:r>
    </w:p>
    <w:p>
      <w:pPr>
        <w:spacing w:before="0" w:after="80" w:line="250" w:lineRule="auto"/>
      </w:pPr>
      <w:r>
        <w:rPr>
          <w:rFonts w:ascii="Noto Serif" w:hAnsi="Noto Serif" w:eastAsia="Noto Serif"/>
          <w:b w:val="0"/>
          <w:i w:val="0"/>
          <w:color w:val="202428"/>
          <w:sz w:val="18"/>
        </w:rPr>
        <w:t>The calibration programme is not presented as statistical proof. Its purpose was contradiction and boundary testing. The result was that no additional top-level economic engine was required. Sector-specific causality was captured through sub-architectures and overlays, while the ten-module top-level taxonomy remained stable.</w:t>
      </w:r>
    </w:p>
    <w:p>
      <w:pPr>
        <w:pStyle w:val="Heading2"/>
      </w:pPr>
      <w:r>
        <w:rPr>
          <w:rFonts w:ascii="Arimo" w:hAnsi="Arimo" w:eastAsia="Arimo"/>
          <w:b/>
          <w:i w:val="0"/>
          <w:color w:val="173F5F"/>
          <w:sz w:val="23"/>
        </w:rPr>
        <w:t>22. Stable policy weights, frozen engines and adaptive company states</w:t>
      </w:r>
    </w:p>
    <w:p>
      <w:pPr>
        <w:spacing w:before="0" w:after="80" w:line="250" w:lineRule="auto"/>
      </w:pPr>
      <w:r>
        <w:rPr>
          <w:rFonts w:ascii="Noto Serif" w:hAnsi="Noto Serif" w:eastAsia="Noto Serif"/>
          <w:b w:val="0"/>
          <w:i w:val="0"/>
          <w:color w:val="202428"/>
          <w:sz w:val="18"/>
        </w:rPr>
        <w:t>CIF now uses three distinct forms of structure. Stable policy weights preserve cross-company comparability. Frozen Economic Engine Modules preserve causal consistency at the business-model level. Adaptive Company Agent states preserve enterprise specificity. This avoids both extremes: changing the whole framework for every industry, or forcing every company into the same capability checklist and owner-cash definition.</w:t>
      </w:r>
    </w:p>
    <w:p>
      <w:pPr>
        <w:pStyle w:val="Heading2"/>
      </w:pPr>
      <w:r>
        <w:rPr>
          <w:rFonts w:ascii="Arimo" w:hAnsi="Arimo" w:eastAsia="Arimo"/>
          <w:b/>
          <w:i w:val="0"/>
          <w:color w:val="173F5F"/>
          <w:sz w:val="23"/>
        </w:rPr>
        <w:t>23. What is evidence, what is design, what remains hypothesis</w:t>
      </w:r>
    </w:p>
    <w:tbl>
      <w:tblPr>
        <w:tblW w:type="auto" w:w="0"/>
        <w:jc w:val="center"/>
        <w:tblLayout w:type="fixed"/>
        <w:tblLook w:firstColumn="1" w:firstRow="1" w:lastColumn="0" w:lastRow="0" w:noHBand="0" w:noVBand="1" w:val="04A0"/>
      </w:tblPr>
      <w:tblGrid>
        <w:gridCol w:w="3374"/>
        <w:gridCol w:w="3374"/>
        <w:gridCol w:w="3374"/>
      </w:tblGrid>
      <w:tr>
        <w:trPr>
          <w:tblHeader w:val="true"/>
          <w:cantSplit/>
        </w:trPr>
        <w:tc>
          <w:tcPr>
            <w:tcW w:type="dxa" w:w="2880"/>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Category</w:t>
            </w:r>
          </w:p>
        </w:tc>
        <w:tc>
          <w:tcPr>
            <w:tcW w:type="dxa" w:w="4320"/>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Examples</w:t>
            </w:r>
          </w:p>
        </w:tc>
        <w:tc>
          <w:tcPr>
            <w:tcW w:type="dxa" w:w="2880"/>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Publication treatment</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Externally established / broadly supported</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Industry structure, competitive advantage, return on invested capital (ROIC) / reinvestment logic, behavioural decision risk, realised-volatility and variance-risk-premium mechanisms.</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Foundation with cited literature; company applicability still requires evidence.</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Celerity design choice</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Capability lifecycle states, stable CIF policy weights, ten-engine taxonomy, Company Agent State File, state valuation, evidence ledger and monitoring cadence.</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Operating design evaluated over time.</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Open empirical hypothesis</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Capability reinforcement predicts exceptional compounding; specific Company Agent signals improve selection; CPSR/CMVTR variables improve risk decisions.</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Label as hypothesis until historical and live evidence is sufficient.</w:t>
            </w:r>
          </w:p>
        </w:tc>
      </w:tr>
    </w:tbl>
    <w:p>
      <w:pPr>
        <w:spacing w:after="0"/>
      </w:pPr>
    </w:p>
    <w:p>
      <w:pPr>
        <w:keepNext/>
        <w:spacing w:before="200" w:after="80" w:line="240" w:lineRule="auto"/>
      </w:pPr>
      <w:r>
        <w:rPr>
          <w:rFonts w:ascii="Arimo" w:hAnsi="Arimo" w:eastAsia="Arimo"/>
          <w:b/>
          <w:i w:val="0"/>
          <w:color w:val="173F5F"/>
          <w:sz w:val="33"/>
        </w:rPr>
        <w:t>Part V - Implementation in practice</w:t>
      </w:r>
    </w:p>
    <w:p>
      <w:pPr>
        <w:pStyle w:val="Heading2"/>
      </w:pPr>
      <w:r>
        <w:rPr>
          <w:rFonts w:ascii="Arimo" w:hAnsi="Arimo" w:eastAsia="Arimo"/>
          <w:b/>
          <w:i w:val="0"/>
          <w:color w:val="173F5F"/>
          <w:sz w:val="23"/>
        </w:rPr>
        <w:t>24. Coverage initiation</w:t>
      </w:r>
    </w:p>
    <w:p>
      <w:pPr>
        <w:pStyle w:val="SmallBody"/>
        <w:spacing w:after="22"/>
        <w:ind w:left="202" w:hanging="202"/>
      </w:pPr>
      <w:r>
        <w:rPr>
          <w:rFonts w:ascii="Noto Serif" w:hAnsi="Noto Serif" w:eastAsia="Noto Serif"/>
          <w:b/>
          <w:i w:val="0"/>
          <w:color w:val="8A6A12"/>
          <w:sz w:val="15"/>
        </w:rPr>
        <w:t xml:space="preserve">• </w:t>
      </w:r>
      <w:r>
        <w:rPr>
          <w:rFonts w:ascii="Noto Serif" w:hAnsi="Noto Serif" w:eastAsia="Noto Serif"/>
          <w:b w:val="0"/>
          <w:i w:val="0"/>
          <w:color w:val="202428"/>
          <w:sz w:val="16"/>
        </w:rPr>
        <w:t>Define the investment question and classification.</w:t>
      </w:r>
    </w:p>
    <w:p>
      <w:pPr>
        <w:pStyle w:val="SmallBody"/>
        <w:spacing w:after="22"/>
        <w:ind w:left="202" w:hanging="202"/>
      </w:pPr>
      <w:r>
        <w:rPr>
          <w:rFonts w:ascii="Noto Serif" w:hAnsi="Noto Serif" w:eastAsia="Noto Serif"/>
          <w:b/>
          <w:i w:val="0"/>
          <w:color w:val="8A6A12"/>
          <w:sz w:val="15"/>
        </w:rPr>
        <w:t xml:space="preserve">• </w:t>
      </w:r>
      <w:r>
        <w:rPr>
          <w:rFonts w:ascii="Noto Serif" w:hAnsi="Noto Serif" w:eastAsia="Noto Serif"/>
          <w:b w:val="0"/>
          <w:i w:val="0"/>
          <w:color w:val="202428"/>
          <w:sz w:val="16"/>
        </w:rPr>
        <w:t>Assemble the source hierarchy and dated evidence pack, including historical company evidence where it changes present interpretation.</w:t>
      </w:r>
    </w:p>
    <w:p>
      <w:pPr>
        <w:pStyle w:val="SmallBody"/>
        <w:spacing w:after="22"/>
        <w:ind w:left="202" w:hanging="202"/>
      </w:pPr>
      <w:r>
        <w:rPr>
          <w:rFonts w:ascii="Noto Serif" w:hAnsi="Noto Serif" w:eastAsia="Noto Serif"/>
          <w:b/>
          <w:i w:val="0"/>
          <w:color w:val="8A6A12"/>
          <w:sz w:val="15"/>
        </w:rPr>
        <w:t xml:space="preserve">• </w:t>
      </w:r>
      <w:r>
        <w:rPr>
          <w:rFonts w:ascii="Noto Serif" w:hAnsi="Noto Serif" w:eastAsia="Noto Serif"/>
          <w:b w:val="0"/>
          <w:i w:val="0"/>
          <w:color w:val="202428"/>
          <w:sz w:val="16"/>
        </w:rPr>
        <w:t>Declare Economic Engine Architecture, sub-architectures and overlays.</w:t>
      </w:r>
    </w:p>
    <w:p>
      <w:pPr>
        <w:pStyle w:val="SmallBody"/>
        <w:spacing w:after="22"/>
        <w:ind w:left="202" w:hanging="202"/>
      </w:pPr>
      <w:r>
        <w:rPr>
          <w:rFonts w:ascii="Noto Serif" w:hAnsi="Noto Serif" w:eastAsia="Noto Serif"/>
          <w:b/>
          <w:i w:val="0"/>
          <w:color w:val="8A6A12"/>
          <w:sz w:val="15"/>
        </w:rPr>
        <w:t xml:space="preserve">• </w:t>
      </w:r>
      <w:r>
        <w:rPr>
          <w:rFonts w:ascii="Noto Serif" w:hAnsi="Noto Serif" w:eastAsia="Noto Serif"/>
          <w:b w:val="0"/>
          <w:i w:val="0"/>
          <w:color w:val="202428"/>
          <w:sz w:val="16"/>
        </w:rPr>
        <w:t>Map the company capability system and identify state, trajectory, evidence confidence, high-leverage capabilities and binding constraints.</w:t>
      </w:r>
    </w:p>
    <w:p>
      <w:pPr>
        <w:pStyle w:val="SmallBody"/>
        <w:spacing w:after="22"/>
        <w:ind w:left="202" w:hanging="202"/>
      </w:pPr>
      <w:r>
        <w:rPr>
          <w:rFonts w:ascii="Noto Serif" w:hAnsi="Noto Serif" w:eastAsia="Noto Serif"/>
          <w:b/>
          <w:i w:val="0"/>
          <w:color w:val="8A6A12"/>
          <w:sz w:val="15"/>
        </w:rPr>
        <w:t xml:space="preserve">• </w:t>
      </w:r>
      <w:r>
        <w:rPr>
          <w:rFonts w:ascii="Noto Serif" w:hAnsi="Noto Serif" w:eastAsia="Noto Serif"/>
          <w:b w:val="0"/>
          <w:i w:val="0"/>
          <w:color w:val="202428"/>
          <w:sz w:val="16"/>
        </w:rPr>
        <w:t>Assess external context and the nine CIF policy dimensions.</w:t>
      </w:r>
    </w:p>
    <w:p>
      <w:pPr>
        <w:pStyle w:val="SmallBody"/>
        <w:spacing w:after="22"/>
        <w:ind w:left="202" w:hanging="202"/>
      </w:pPr>
      <w:r>
        <w:rPr>
          <w:rFonts w:ascii="Noto Serif" w:hAnsi="Noto Serif" w:eastAsia="Noto Serif"/>
          <w:b/>
          <w:i w:val="0"/>
          <w:color w:val="8A6A12"/>
          <w:sz w:val="15"/>
        </w:rPr>
        <w:t xml:space="preserve">• </w:t>
      </w:r>
      <w:r>
        <w:rPr>
          <w:rFonts w:ascii="Noto Serif" w:hAnsi="Noto Serif" w:eastAsia="Noto Serif"/>
          <w:b w:val="0"/>
          <w:i w:val="0"/>
          <w:color w:val="202428"/>
          <w:sz w:val="16"/>
        </w:rPr>
        <w:t>Build the archetype-specific capability-to-economics bridge.</w:t>
      </w:r>
    </w:p>
    <w:p>
      <w:pPr>
        <w:pStyle w:val="SmallBody"/>
        <w:spacing w:after="22"/>
        <w:ind w:left="202" w:hanging="202"/>
      </w:pPr>
      <w:r>
        <w:rPr>
          <w:rFonts w:ascii="Noto Serif" w:hAnsi="Noto Serif" w:eastAsia="Noto Serif"/>
          <w:b/>
          <w:i w:val="0"/>
          <w:color w:val="8A6A12"/>
          <w:sz w:val="15"/>
        </w:rPr>
        <w:t xml:space="preserve">• </w:t>
      </w:r>
      <w:r>
        <w:rPr>
          <w:rFonts w:ascii="Noto Serif" w:hAnsi="Noto Serif" w:eastAsia="Noto Serif"/>
          <w:b w:val="0"/>
          <w:i w:val="0"/>
          <w:color w:val="202428"/>
          <w:sz w:val="16"/>
        </w:rPr>
        <w:t>Run the independent Financial Viability gate.</w:t>
      </w:r>
    </w:p>
    <w:p>
      <w:pPr>
        <w:pStyle w:val="SmallBody"/>
        <w:spacing w:after="22"/>
        <w:ind w:left="202" w:hanging="202"/>
      </w:pPr>
      <w:r>
        <w:rPr>
          <w:rFonts w:ascii="Noto Serif" w:hAnsi="Noto Serif" w:eastAsia="Noto Serif"/>
          <w:b/>
          <w:i w:val="0"/>
          <w:color w:val="8A6A12"/>
          <w:sz w:val="15"/>
        </w:rPr>
        <w:t xml:space="preserve">• </w:t>
      </w:r>
      <w:r>
        <w:rPr>
          <w:rFonts w:ascii="Noto Serif" w:hAnsi="Noto Serif" w:eastAsia="Noto Serif"/>
          <w:b w:val="0"/>
          <w:i w:val="0"/>
          <w:color w:val="202428"/>
          <w:sz w:val="16"/>
        </w:rPr>
        <w:t>Open material capital cohorts and define closure tests.</w:t>
      </w:r>
    </w:p>
    <w:p>
      <w:pPr>
        <w:pStyle w:val="SmallBody"/>
        <w:spacing w:after="22"/>
        <w:ind w:left="202" w:hanging="202"/>
      </w:pPr>
      <w:r>
        <w:rPr>
          <w:rFonts w:ascii="Noto Serif" w:hAnsi="Noto Serif" w:eastAsia="Noto Serif"/>
          <w:b/>
          <w:i w:val="0"/>
          <w:color w:val="8A6A12"/>
          <w:sz w:val="15"/>
        </w:rPr>
        <w:t xml:space="preserve">• </w:t>
      </w:r>
      <w:r>
        <w:rPr>
          <w:rFonts w:ascii="Noto Serif" w:hAnsi="Noto Serif" w:eastAsia="Noto Serif"/>
          <w:b w:val="0"/>
          <w:i w:val="0"/>
          <w:color w:val="202428"/>
          <w:sz w:val="16"/>
        </w:rPr>
        <w:t>Build the economic claim/dilution genealogy and Shareholder Value Capture test.</w:t>
      </w:r>
    </w:p>
    <w:p>
      <w:pPr>
        <w:pStyle w:val="SmallBody"/>
        <w:spacing w:after="22"/>
        <w:ind w:left="202" w:hanging="202"/>
      </w:pPr>
      <w:r>
        <w:rPr>
          <w:rFonts w:ascii="Noto Serif" w:hAnsi="Noto Serif" w:eastAsia="Noto Serif"/>
          <w:b/>
          <w:i w:val="0"/>
          <w:color w:val="8A6A12"/>
          <w:sz w:val="15"/>
        </w:rPr>
        <w:t xml:space="preserve">• </w:t>
      </w:r>
      <w:r>
        <w:rPr>
          <w:rFonts w:ascii="Noto Serif" w:hAnsi="Noto Serif" w:eastAsia="Noto Serif"/>
          <w:b w:val="0"/>
          <w:i w:val="0"/>
          <w:color w:val="202428"/>
          <w:sz w:val="16"/>
        </w:rPr>
        <w:t>Construct downside, central, upside and market-implied valuation states.</w:t>
      </w:r>
    </w:p>
    <w:p>
      <w:pPr>
        <w:pStyle w:val="SmallBody"/>
        <w:spacing w:after="22"/>
        <w:ind w:left="202" w:hanging="202"/>
      </w:pPr>
      <w:r>
        <w:rPr>
          <w:rFonts w:ascii="Noto Serif" w:hAnsi="Noto Serif" w:eastAsia="Noto Serif"/>
          <w:b/>
          <w:i w:val="0"/>
          <w:color w:val="8A6A12"/>
          <w:sz w:val="15"/>
        </w:rPr>
        <w:t xml:space="preserve">• </w:t>
      </w:r>
      <w:r>
        <w:rPr>
          <w:rFonts w:ascii="Noto Serif" w:hAnsi="Noto Serif" w:eastAsia="Noto Serif"/>
          <w:b w:val="0"/>
          <w:i w:val="0"/>
          <w:color w:val="202428"/>
          <w:sz w:val="16"/>
        </w:rPr>
        <w:t>Apply Decision Risk, determine portfolio role and define upgrade, downgrade and thesis-break evidence.</w:t>
      </w:r>
    </w:p>
    <w:p>
      <w:pPr>
        <w:pStyle w:val="SmallBody"/>
        <w:spacing w:after="22"/>
        <w:ind w:left="202" w:hanging="202"/>
      </w:pPr>
      <w:r>
        <w:rPr>
          <w:rFonts w:ascii="Noto Serif" w:hAnsi="Noto Serif" w:eastAsia="Noto Serif"/>
          <w:b/>
          <w:i w:val="0"/>
          <w:color w:val="8A6A12"/>
          <w:sz w:val="15"/>
        </w:rPr>
        <w:t xml:space="preserve">• </w:t>
      </w:r>
      <w:r>
        <w:rPr>
          <w:rFonts w:ascii="Noto Serif" w:hAnsi="Noto Serif" w:eastAsia="Noto Serif"/>
          <w:b w:val="0"/>
          <w:i w:val="0"/>
          <w:color w:val="202428"/>
          <w:sz w:val="16"/>
        </w:rPr>
        <w:t>Determine whether CPSR and/or CMVTR are relevant and what model status is validated for use.</w:t>
      </w:r>
    </w:p>
    <w:p>
      <w:pPr>
        <w:pStyle w:val="SmallBody"/>
        <w:spacing w:after="22"/>
        <w:ind w:left="202" w:hanging="202"/>
      </w:pPr>
      <w:r>
        <w:rPr>
          <w:rFonts w:ascii="Noto Serif" w:hAnsi="Noto Serif" w:eastAsia="Noto Serif"/>
          <w:b/>
          <w:i w:val="0"/>
          <w:color w:val="8A6A12"/>
          <w:sz w:val="15"/>
        </w:rPr>
        <w:t xml:space="preserve">• </w:t>
      </w:r>
      <w:r>
        <w:rPr>
          <w:rFonts w:ascii="Noto Serif" w:hAnsi="Noto Serif" w:eastAsia="Noto Serif"/>
          <w:b w:val="0"/>
          <w:i w:val="0"/>
          <w:color w:val="202428"/>
          <w:sz w:val="16"/>
        </w:rPr>
        <w:t>Freeze the initial Capability &amp; Valuation Review and Company Agent State File; begin the evidence ledger.</w:t>
      </w:r>
    </w:p>
    <w:p>
      <w:pPr>
        <w:pStyle w:val="Heading2"/>
      </w:pPr>
      <w:r>
        <w:rPr>
          <w:rFonts w:ascii="Arimo" w:hAnsi="Arimo" w:eastAsia="Arimo"/>
          <w:b/>
          <w:i w:val="0"/>
          <w:color w:val="173F5F"/>
          <w:sz w:val="23"/>
        </w:rPr>
        <w:t>25. The canonical Company Agent State File</w:t>
      </w:r>
    </w:p>
    <w:tbl>
      <w:tblPr>
        <w:tblW w:type="auto" w:w="0"/>
        <w:jc w:val="center"/>
        <w:tblLayout w:type="fixed"/>
        <w:tblLook w:firstColumn="1" w:firstRow="1" w:lastColumn="0" w:lastRow="0" w:noHBand="0" w:noVBand="1" w:val="04A0"/>
      </w:tblPr>
      <w:tblGrid>
        <w:gridCol w:w="5061"/>
        <w:gridCol w:w="5061"/>
      </w:tblGrid>
      <w:tr>
        <w:trPr>
          <w:tblHeader w:val="true"/>
          <w:cantSplit/>
        </w:trPr>
        <w:tc>
          <w:tcPr>
            <w:tcW w:type="dxa" w:w="3672"/>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Controlled component</w:t>
            </w:r>
          </w:p>
        </w:tc>
        <w:tc>
          <w:tcPr>
            <w:tcW w:type="dxa" w:w="6408"/>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Purpose</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Evidence archive / source register</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Preserve source provenance and dated evidence.</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Economic Engine Architecture</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Define primary engines, sub-architectures, shared capabilities, central costs and overlays.</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Capability State Matrix</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Maintain state, trajectory, confidence, leverage and constraints.</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Management Representation Ledger</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Preserve promises and dated closure tests rather than allowing narrative reset.</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Capital cohort genealogy</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Track acquisitions, projects, development and transformations from formation to owner-return closure.</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Working-capital / funding classification</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Separate Structural Float, Growth Funding and Stress Funding.</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Independent Financial Viability gate</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Auditor, regulator, capital/liquidity, runway, covenant or equivalent evidence.</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Owner-cash definition and economic model</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Translate capability and external states through the correct archetype.</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Economic claim / dilution genealogy</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Measure the continuing shareholder denominator.</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Valuation states and Attribution Ledger</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Maintain conditional values and prevent DCF/NPV/optionality/multiple overlap.</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Decision Risk / falsification register</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Document uncertainty, contradictions and valuation-leverage evidence.</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Version log</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Preserve what was known, assumed and decided at each material state.</w:t>
            </w:r>
          </w:p>
        </w:tc>
      </w:tr>
    </w:tbl>
    <w:p>
      <w:pPr>
        <w:spacing w:after="0"/>
      </w:pPr>
    </w:p>
    <w:p>
      <w:pPr>
        <w:pStyle w:val="Heading2"/>
      </w:pPr>
      <w:r>
        <w:rPr>
          <w:rFonts w:ascii="Arimo" w:hAnsi="Arimo" w:eastAsia="Arimo"/>
          <w:b/>
          <w:i w:val="0"/>
          <w:color w:val="173F5F"/>
          <w:sz w:val="23"/>
        </w:rPr>
        <w:t>26. Monitoring and the evidence ledger</w:t>
      </w:r>
    </w:p>
    <w:p>
      <w:pPr>
        <w:spacing w:before="0" w:after="80" w:line="250" w:lineRule="auto"/>
      </w:pPr>
      <w:r>
        <w:rPr>
          <w:rFonts w:ascii="Noto Serif" w:hAnsi="Noto Serif" w:eastAsia="Noto Serif"/>
          <w:b w:val="0"/>
          <w:i w:val="0"/>
          <w:color w:val="202428"/>
          <w:sz w:val="18"/>
        </w:rPr>
        <w:t>Monitoring is not a lighter version of research. It is the mechanism that makes the original research falsifiable. The evidence ledger records only information that changes capability, economic-engine state, Financial Viability, capital cohorts, Shareholder Value Capture, valuation, Decision Risk or portfolio action.</w:t>
      </w:r>
    </w:p>
    <w:tbl>
      <w:tblPr>
        <w:tblW w:type="auto" w:w="0"/>
        <w:jc w:val="center"/>
        <w:tblLayout w:type="fixed"/>
        <w:tblLook w:firstColumn="1" w:firstRow="1" w:lastColumn="0" w:lastRow="0" w:noHBand="0" w:noVBand="1" w:val="04A0"/>
      </w:tblPr>
      <w:tblGrid>
        <w:gridCol w:w="5061"/>
        <w:gridCol w:w="5061"/>
      </w:tblGrid>
      <w:tr>
        <w:trPr>
          <w:tblHeader w:val="true"/>
          <w:cantSplit/>
        </w:trPr>
        <w:tc>
          <w:tcPr>
            <w:tcW w:type="dxa" w:w="3312"/>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Evidence field</w:t>
            </w:r>
          </w:p>
        </w:tc>
        <w:tc>
          <w:tcPr>
            <w:tcW w:type="dxa" w:w="6768"/>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Required entry</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Date</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When the evidence became available.</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Engine / capability / overlay</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What part of the causal architecture is affected.</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Evidence</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Observable fact or disclosure.</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Type</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Formation / Execution / Compounding / Decay / External-state / Valuation / Viability / Capital.</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Direction</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Positive / Negative / Mixed / Neutral.</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Confidence</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Weak / Moderate / Strong.</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Economic transmission</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Which owner-economic or risk variable should change.</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Capital / viability effect</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Whether a cohort, runway, funding or claim denominator changes.</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Thesis effect</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Strengthens / No change / Weakens / Requires model revision.</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Action</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Monitor / update state / update model / revalue / deep review / portfolio review.</w:t>
            </w:r>
          </w:p>
        </w:tc>
      </w:tr>
    </w:tbl>
    <w:p>
      <w:pPr>
        <w:spacing w:after="0"/>
      </w:pPr>
    </w:p>
    <w:p>
      <w:pPr>
        <w:pStyle w:val="Heading2"/>
      </w:pPr>
      <w:r>
        <w:rPr>
          <w:rFonts w:ascii="Arimo" w:hAnsi="Arimo" w:eastAsia="Arimo"/>
          <w:b/>
          <w:i w:val="0"/>
          <w:color w:val="173F5F"/>
          <w:sz w:val="23"/>
        </w:rPr>
        <w:t>27. Baseline -&gt; New Evidence -&gt; State Delta</w:t>
      </w:r>
    </w:p>
    <w:p>
      <w:pPr>
        <w:spacing w:before="0" w:after="80" w:line="250" w:lineRule="auto"/>
      </w:pPr>
      <w:r>
        <w:rPr>
          <w:rFonts w:ascii="Noto Serif" w:hAnsi="Noto Serif" w:eastAsia="Noto Serif"/>
          <w:b w:val="0"/>
          <w:i w:val="0"/>
          <w:color w:val="202428"/>
          <w:sz w:val="18"/>
        </w:rPr>
        <w:t>Monitoring does not restart the company at each result. The canonical operating sequence is Baseline -&gt; Monitor -&gt; New Evidence -&gt; State Delta -&gt; Re-underwrite the affected causal chain -&gt; Valuation Delta -&gt; New Persistent Baseline. Unaffected capabilities, capital cohorts and management representations remain in state. This preserves organisational memory and prevents management narrative from resetting the research record.</w:t>
      </w:r>
    </w:p>
    <w:p>
      <w:pPr>
        <w:spacing w:before="0" w:after="80" w:line="250" w:lineRule="auto"/>
      </w:pPr>
      <w:r>
        <w:rPr>
          <w:rFonts w:ascii="Noto Serif" w:hAnsi="Noto Serif" w:eastAsia="Noto Serif"/>
          <w:b w:val="0"/>
          <w:i w:val="0"/>
          <w:color w:val="202428"/>
          <w:sz w:val="18"/>
        </w:rPr>
        <w:t>A reporting event therefore begins with delta detection, not with a blank-page company review. The analyst asks what actually changed, which engine or capability it affects, whether the evidence is formation, execution, compounding or decay, how it transmits into owner economics, whether Financial Viability or the claim denominator changes, and whether valuation or portfolio action must change.</w:t>
      </w:r>
    </w:p>
    <w:p>
      <w:pPr>
        <w:pStyle w:val="Heading2"/>
      </w:pPr>
      <w:r>
        <w:rPr>
          <w:rFonts w:ascii="Arimo" w:hAnsi="Arimo" w:eastAsia="Arimo"/>
          <w:b/>
          <w:i w:val="0"/>
          <w:color w:val="173F5F"/>
          <w:sz w:val="23"/>
        </w:rPr>
        <w:t>28. Review cadence</w:t>
      </w:r>
    </w:p>
    <w:tbl>
      <w:tblPr>
        <w:tblW w:type="auto" w:w="0"/>
        <w:jc w:val="center"/>
        <w:tblLayout w:type="fixed"/>
        <w:tblLook w:firstColumn="1" w:firstRow="1" w:lastColumn="0" w:lastRow="0" w:noHBand="0" w:noVBand="1" w:val="04A0"/>
      </w:tblPr>
      <w:tblGrid>
        <w:gridCol w:w="3374"/>
        <w:gridCol w:w="3374"/>
        <w:gridCol w:w="3374"/>
      </w:tblGrid>
      <w:tr>
        <w:trPr>
          <w:tblHeader w:val="true"/>
          <w:cantSplit/>
        </w:trPr>
        <w:tc>
          <w:tcPr>
            <w:tcW w:type="dxa" w:w="2664"/>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3"/>
              </w:rPr>
              <w:t>Review</w:t>
            </w:r>
          </w:p>
        </w:tc>
        <w:tc>
          <w:tcPr>
            <w:tcW w:type="dxa" w:w="3312"/>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3"/>
              </w:rPr>
              <w:t>Default cadence</w:t>
            </w:r>
          </w:p>
        </w:tc>
        <w:tc>
          <w:tcPr>
            <w:tcW w:type="dxa" w:w="4104"/>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3"/>
              </w:rPr>
              <w:t>Purpose / output</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Evidence capture</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Continuous / event-driven</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Record material company, industry, regulatory, management, capital and financing developments.</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Company Agent monitoring</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Quarterly</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Update engine state, capability state, trajectory, confidence, constraints, viability and falsification queue.</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Results reconciliation</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Half-year/full-year or each reporting event</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Reconcile new evidence with operating and owner-economic outcomes.</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Valuation refresh</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At results and after material state/price change</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Update conditional values, required-return analysis and market-implied assumptions.</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Full company re-underwrite</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At least annually</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Rebuild the thesis against the persistent record rather than erasing it.</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Portfolio review</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Quarterly and before major allocation changes</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Check role, concentration, correlation, liquidity and opportunity cost.</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CPSR review</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As Threat/Vulnerability state changes</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Reassess risk of loss and nature of loss.</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CMVTR review</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Frequency appropriate to validated data/materiality</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3"/>
              </w:rPr>
              <w:t>Update path risk, model status and risk-transfer economics.</w:t>
            </w:r>
          </w:p>
        </w:tc>
      </w:tr>
    </w:tbl>
    <w:p>
      <w:pPr>
        <w:spacing w:after="0"/>
      </w:pPr>
    </w:p>
    <w:p>
      <w:pPr>
        <w:pStyle w:val="Heading2"/>
      </w:pPr>
      <w:r>
        <w:rPr>
          <w:rFonts w:ascii="Arimo" w:hAnsi="Arimo" w:eastAsia="Arimo"/>
          <w:b/>
          <w:i w:val="0"/>
          <w:color w:val="173F5F"/>
          <w:sz w:val="23"/>
        </w:rPr>
        <w:t>29. Company-specific capability and valuation publications</w:t>
      </w:r>
    </w:p>
    <w:tbl>
      <w:tblPr>
        <w:tblW w:type="auto" w:w="0"/>
        <w:jc w:val="center"/>
        <w:tblLayout w:type="fixed"/>
        <w:tblLook w:firstColumn="1" w:firstRow="1" w:lastColumn="0" w:lastRow="0" w:noHBand="0" w:noVBand="1" w:val="04A0"/>
      </w:tblPr>
      <w:tblGrid>
        <w:gridCol w:w="5061"/>
        <w:gridCol w:w="5061"/>
      </w:tblGrid>
      <w:tr>
        <w:trPr>
          <w:tblHeader w:val="true"/>
          <w:cantSplit/>
        </w:trPr>
        <w:tc>
          <w:tcPr>
            <w:tcW w:type="dxa" w:w="3600"/>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Publication / record</w:t>
            </w:r>
          </w:p>
        </w:tc>
        <w:tc>
          <w:tcPr>
            <w:tcW w:type="dxa" w:w="6480"/>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Purpose</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Initiation Capability &amp; Valuation Review</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Full enterprise architecture, CIF assessment, model, valuation states, Decision Risk and monitoring plan.</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Company Agent State File</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Persistent canonical company state; the primary controlled record.</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Results &amp; Capability Update</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Reconcile new results as a state delta rather than rewrite the whole company.</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Valuation State Update</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Rebuild the economic state and fair-value range after material evidence or price/value displacement.</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Event-Driven Research Note</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Assess one thesis-changing event and its causal transmission.</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Annual Company Review</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Complete re-underwrite and controlled new publication edition.</w:t>
            </w:r>
          </w:p>
        </w:tc>
      </w:tr>
    </w:tbl>
    <w:p>
      <w:pPr>
        <w:spacing w:after="0"/>
      </w:pPr>
    </w:p>
    <w:p>
      <w:pPr>
        <w:spacing w:before="0" w:after="80" w:line="250" w:lineRule="auto"/>
      </w:pPr>
      <w:r>
        <w:rPr>
          <w:rFonts w:ascii="Noto Serif" w:hAnsi="Noto Serif" w:eastAsia="Noto Serif"/>
          <w:b w:val="0"/>
          <w:i w:val="0"/>
          <w:color w:val="202428"/>
          <w:sz w:val="18"/>
        </w:rPr>
        <w:t>Capability and valuation can be published as one integrated paper or coordinated papers. Separate documents must not become separate theses. They use the same evidence date, Company Agent state, assumptions, owner-cash definition and upgrade/downgrade conditions.</w:t>
      </w:r>
    </w:p>
    <w:p>
      <w:pPr>
        <w:keepNext/>
        <w:spacing w:before="80" w:after="20" w:line="240" w:lineRule="auto"/>
        <w:jc w:val="center"/>
      </w:pPr>
      <w:r>
        <w:rPr>
          <w:rFonts w:ascii="Arimo" w:hAnsi="Arimo" w:eastAsia="Arimo"/>
          <w:b/>
          <w:i w:val="0"/>
          <w:color w:val="173F5F"/>
          <w:sz w:val="16"/>
        </w:rPr>
        <w:t>THE COMPANY RESEARCH OPERATING CYCLE</w:t>
      </w:r>
    </w:p>
    <w:p>
      <w:pPr>
        <w:keepNext/>
        <w:spacing w:before="0" w:after="40" w:line="240" w:lineRule="auto"/>
        <w:jc w:val="center"/>
      </w:pPr>
      <w:r>
        <w:rPr>
          <w:rFonts w:ascii="Noto Serif" w:hAnsi="Noto Serif" w:eastAsia="Noto Serif"/>
          <w:b w:val="0"/>
          <w:i/>
          <w:color w:val="666666"/>
          <w:sz w:val="11"/>
        </w:rPr>
        <w:t>Publications are versioned outputs from one persistent Company Agent State File</w:t>
      </w:r>
    </w:p>
    <w:tbl>
      <w:tblPr>
        <w:tblW w:type="auto" w:w="0"/>
        <w:jc w:val="center"/>
        <w:tblLayout w:type="fixed"/>
        <w:tblLook w:firstColumn="1" w:firstRow="1" w:lastColumn="0" w:lastRow="0" w:noHBand="0" w:noVBand="1" w:val="04A0"/>
      </w:tblPr>
      <w:tblGrid>
        <w:gridCol w:w="3374"/>
        <w:gridCol w:w="3374"/>
        <w:gridCol w:w="3374"/>
      </w:tblGrid>
      <w:tr>
        <w:tc>
          <w:tcPr>
            <w:tcW w:type="dxa" w:w="3360"/>
            <w:shd w:fill="EEF3F7"/>
            <w:tcMar>
              <w:top w:w="50" w:type="dxa"/>
              <w:start w:w="35" w:type="dxa"/>
              <w:bottom w:w="50" w:type="dxa"/>
              <w:end w:w="35" w:type="dxa"/>
            </w:tcMar>
            <w:tcBorders>
              <w:top w:val="single" w:sz="6" w:color="7F98AA"/>
              <w:left w:val="single" w:sz="6" w:color="7F98AA"/>
              <w:bottom w:val="single" w:sz="6" w:color="7F98AA"/>
              <w:right w:val="single" w:sz="6" w:color="7F98AA"/>
            </w:tcBorders>
            <w:vAlign w:val="center"/>
          </w:tcPr>
          <w:p>
            <w:pPr>
              <w:spacing w:before="0" w:after="0" w:line="240" w:lineRule="auto"/>
              <w:jc w:val="center"/>
            </w:pPr>
            <w:r>
              <w:rPr>
                <w:rFonts w:ascii="Arimo" w:hAnsi="Arimo" w:eastAsia="Arimo"/>
                <w:b/>
                <w:i w:val="0"/>
                <w:color w:val="173F5F"/>
                <w:sz w:val="12"/>
              </w:rPr>
              <w:t>1 Initiation / full review</w:t>
              <w:br/>
              <w:t>Freeze capability, valuation and monitoring</w:t>
            </w:r>
          </w:p>
        </w:tc>
        <w:tc>
          <w:tcPr>
            <w:tcW w:type="dxa" w:w="3360"/>
            <w:shd w:fill="EEF3F7"/>
            <w:tcMar>
              <w:top w:w="50" w:type="dxa"/>
              <w:start w:w="35" w:type="dxa"/>
              <w:bottom w:w="50" w:type="dxa"/>
              <w:end w:w="35" w:type="dxa"/>
            </w:tcMar>
            <w:tcBorders>
              <w:top w:val="single" w:sz="6" w:color="7F98AA"/>
              <w:left w:val="single" w:sz="6" w:color="7F98AA"/>
              <w:bottom w:val="single" w:sz="6" w:color="7F98AA"/>
              <w:right w:val="single" w:sz="6" w:color="7F98AA"/>
            </w:tcBorders>
            <w:vAlign w:val="center"/>
          </w:tcPr>
          <w:p>
            <w:pPr>
              <w:spacing w:before="0" w:after="0" w:line="240" w:lineRule="auto"/>
              <w:jc w:val="center"/>
            </w:pPr>
            <w:r>
              <w:rPr>
                <w:rFonts w:ascii="Arimo" w:hAnsi="Arimo" w:eastAsia="Arimo"/>
                <w:b/>
                <w:i w:val="0"/>
                <w:color w:val="173F5F"/>
                <w:sz w:val="12"/>
              </w:rPr>
              <w:t>2 Evidence ledger</w:t>
              <w:br/>
              <w:t>Capture material evidence prospectively</w:t>
            </w:r>
          </w:p>
        </w:tc>
        <w:tc>
          <w:tcPr>
            <w:tcW w:type="dxa" w:w="3360"/>
            <w:shd w:fill="EEF3F7"/>
            <w:tcMar>
              <w:top w:w="50" w:type="dxa"/>
              <w:start w:w="35" w:type="dxa"/>
              <w:bottom w:w="50" w:type="dxa"/>
              <w:end w:w="35" w:type="dxa"/>
            </w:tcMar>
            <w:tcBorders>
              <w:top w:val="single" w:sz="6" w:color="7F98AA"/>
              <w:left w:val="single" w:sz="6" w:color="7F98AA"/>
              <w:bottom w:val="single" w:sz="6" w:color="7F98AA"/>
              <w:right w:val="single" w:sz="6" w:color="7F98AA"/>
            </w:tcBorders>
            <w:vAlign w:val="center"/>
          </w:tcPr>
          <w:p>
            <w:pPr>
              <w:spacing w:before="0" w:after="0" w:line="240" w:lineRule="auto"/>
              <w:jc w:val="center"/>
            </w:pPr>
            <w:r>
              <w:rPr>
                <w:rFonts w:ascii="Arimo" w:hAnsi="Arimo" w:eastAsia="Arimo"/>
                <w:b/>
                <w:i w:val="0"/>
                <w:color w:val="173F5F"/>
                <w:sz w:val="12"/>
              </w:rPr>
              <w:t>3 Results &amp; event reconciliation</w:t>
              <w:br/>
              <w:t>Reconcile new evidence with causal thesis</w:t>
            </w:r>
          </w:p>
        </w:tc>
      </w:tr>
    </w:tbl>
    <w:p>
      <w:pPr>
        <w:spacing w:after="0"/>
      </w:pPr>
    </w:p>
    <w:tbl>
      <w:tblPr>
        <w:tblW w:type="auto" w:w="0"/>
        <w:jc w:val="center"/>
        <w:tblLook w:firstColumn="1" w:firstRow="1" w:lastColumn="0" w:lastRow="0" w:noHBand="0" w:noVBand="1" w:val="04A0"/>
      </w:tblPr>
      <w:tblGrid>
        <w:gridCol w:w="10123"/>
      </w:tblGrid>
      <w:tr>
        <w:tc>
          <w:tcPr>
            <w:tcW w:type="dxa" w:w="10123"/>
            <w:shd w:fill="173F5F"/>
            <w:tcMar>
              <w:top w:w="38" w:type="dxa"/>
              <w:start w:w="60" w:type="dxa"/>
              <w:bottom w:w="38" w:type="dxa"/>
              <w:end w:w="60" w:type="dxa"/>
            </w:tcMar>
          </w:tcPr>
          <w:p>
            <w:pPr>
              <w:jc w:val="center"/>
            </w:pPr>
            <w:r>
              <w:rPr>
                <w:rFonts w:ascii="Arimo" w:hAnsi="Arimo" w:eastAsia="Arimo"/>
                <w:b/>
                <w:i w:val="0"/>
                <w:color w:val="FFFFFF"/>
                <w:sz w:val="11"/>
              </w:rPr>
              <w:t>ONE CONTROLLED COMPANY RESEARCH RECORD  |  persistent Company Agent state, evidence, economics and valuation history</w:t>
            </w:r>
          </w:p>
        </w:tc>
      </w:tr>
    </w:tbl>
    <w:p>
      <w:pPr>
        <w:spacing w:after="0"/>
      </w:pPr>
    </w:p>
    <w:tbl>
      <w:tblPr>
        <w:tblW w:type="auto" w:w="0"/>
        <w:jc w:val="center"/>
        <w:tblLayout w:type="fixed"/>
        <w:tblLook w:firstColumn="1" w:firstRow="1" w:lastColumn="0" w:lastRow="0" w:noHBand="0" w:noVBand="1" w:val="04A0"/>
      </w:tblPr>
      <w:tblGrid>
        <w:gridCol w:w="3374"/>
        <w:gridCol w:w="3374"/>
        <w:gridCol w:w="3374"/>
      </w:tblGrid>
      <w:tr>
        <w:tc>
          <w:tcPr>
            <w:tcW w:type="dxa" w:w="3360"/>
            <w:shd w:fill="EEF3F7"/>
            <w:tcMar>
              <w:top w:w="50" w:type="dxa"/>
              <w:start w:w="35" w:type="dxa"/>
              <w:bottom w:w="50" w:type="dxa"/>
              <w:end w:w="35" w:type="dxa"/>
            </w:tcMar>
            <w:tcBorders>
              <w:top w:val="single" w:sz="6" w:color="7F98AA"/>
              <w:left w:val="single" w:sz="6" w:color="7F98AA"/>
              <w:bottom w:val="single" w:sz="6" w:color="7F98AA"/>
              <w:right w:val="single" w:sz="6" w:color="7F98AA"/>
            </w:tcBorders>
            <w:vAlign w:val="center"/>
          </w:tcPr>
          <w:p>
            <w:pPr>
              <w:spacing w:before="0" w:after="0" w:line="240" w:lineRule="auto"/>
              <w:jc w:val="center"/>
            </w:pPr>
            <w:r>
              <w:rPr>
                <w:rFonts w:ascii="Arimo" w:hAnsi="Arimo" w:eastAsia="Arimo"/>
                <w:b/>
                <w:i w:val="0"/>
                <w:color w:val="173F5F"/>
                <w:sz w:val="12"/>
              </w:rPr>
              <w:t>6 Annual re-underwrite</w:t>
              <w:br/>
              <w:t>Rebuild against the persistent record</w:t>
            </w:r>
          </w:p>
        </w:tc>
        <w:tc>
          <w:tcPr>
            <w:tcW w:type="dxa" w:w="3360"/>
            <w:shd w:fill="EEF3F7"/>
            <w:tcMar>
              <w:top w:w="50" w:type="dxa"/>
              <w:start w:w="35" w:type="dxa"/>
              <w:bottom w:w="50" w:type="dxa"/>
              <w:end w:w="35" w:type="dxa"/>
            </w:tcMar>
            <w:tcBorders>
              <w:top w:val="single" w:sz="6" w:color="7F98AA"/>
              <w:left w:val="single" w:sz="6" w:color="7F98AA"/>
              <w:bottom w:val="single" w:sz="6" w:color="7F98AA"/>
              <w:right w:val="single" w:sz="6" w:color="7F98AA"/>
            </w:tcBorders>
            <w:vAlign w:val="center"/>
          </w:tcPr>
          <w:p>
            <w:pPr>
              <w:spacing w:before="0" w:after="0" w:line="240" w:lineRule="auto"/>
              <w:jc w:val="center"/>
            </w:pPr>
            <w:r>
              <w:rPr>
                <w:rFonts w:ascii="Arimo" w:hAnsi="Arimo" w:eastAsia="Arimo"/>
                <w:b/>
                <w:i w:val="0"/>
                <w:color w:val="173F5F"/>
                <w:sz w:val="12"/>
              </w:rPr>
              <w:t>5 Upgrade / downgrade conditions</w:t>
              <w:br/>
              <w:t>Make falsification and thesis change explicit</w:t>
            </w:r>
          </w:p>
        </w:tc>
        <w:tc>
          <w:tcPr>
            <w:tcW w:type="dxa" w:w="3360"/>
            <w:shd w:fill="EEF3F7"/>
            <w:tcMar>
              <w:top w:w="50" w:type="dxa"/>
              <w:start w:w="35" w:type="dxa"/>
              <w:bottom w:w="50" w:type="dxa"/>
              <w:end w:w="35" w:type="dxa"/>
            </w:tcMar>
            <w:tcBorders>
              <w:top w:val="single" w:sz="6" w:color="7F98AA"/>
              <w:left w:val="single" w:sz="6" w:color="7F98AA"/>
              <w:bottom w:val="single" w:sz="6" w:color="7F98AA"/>
              <w:right w:val="single" w:sz="6" w:color="7F98AA"/>
            </w:tcBorders>
            <w:vAlign w:val="center"/>
          </w:tcPr>
          <w:p>
            <w:pPr>
              <w:spacing w:before="0" w:after="0" w:line="240" w:lineRule="auto"/>
              <w:jc w:val="center"/>
            </w:pPr>
            <w:r>
              <w:rPr>
                <w:rFonts w:ascii="Arimo" w:hAnsi="Arimo" w:eastAsia="Arimo"/>
                <w:b/>
                <w:i w:val="0"/>
                <w:color w:val="173F5F"/>
                <w:sz w:val="12"/>
              </w:rPr>
              <w:t>4 Valuation &amp; portfolio decision</w:t>
              <w:br/>
              <w:t>Refresh conditional value and rational exposure</w:t>
            </w:r>
          </w:p>
        </w:tc>
      </w:tr>
    </w:tbl>
    <w:p>
      <w:pPr>
        <w:spacing w:before="40" w:after="60" w:line="240" w:lineRule="auto"/>
        <w:jc w:val="center"/>
      </w:pPr>
      <w:r>
        <w:rPr>
          <w:rFonts w:ascii="Noto Serif" w:hAnsi="Noto Serif" w:eastAsia="Noto Serif"/>
          <w:b w:val="0"/>
          <w:i/>
          <w:color w:val="696969"/>
          <w:sz w:val="13"/>
        </w:rPr>
        <w:t>Figure 3. The company research operating cycle. Publications are versioned outputs from one persistent Company Agent State File.</w:t>
      </w:r>
    </w:p>
    <w:p>
      <w:pPr>
        <w:pStyle w:val="Heading2"/>
      </w:pPr>
      <w:r>
        <w:rPr>
          <w:rFonts w:ascii="Arimo" w:hAnsi="Arimo" w:eastAsia="Arimo"/>
          <w:b/>
          <w:i w:val="0"/>
          <w:color w:val="173F5F"/>
          <w:sz w:val="23"/>
        </w:rPr>
        <w:t>30. Event-driven review</w:t>
      </w:r>
    </w:p>
    <w:p>
      <w:pPr>
        <w:spacing w:before="0" w:after="80" w:line="250" w:lineRule="auto"/>
      </w:pPr>
      <w:r>
        <w:rPr>
          <w:rFonts w:ascii="Noto Serif" w:hAnsi="Noto Serif" w:eastAsia="Noto Serif"/>
          <w:b w:val="0"/>
          <w:i w:val="0"/>
          <w:color w:val="202428"/>
          <w:sz w:val="18"/>
        </w:rPr>
        <w:t>Event-driven review follows a fixed causal sequence: identify the changed fact; map it to the relevant engine, capability, overlay or external state; classify the evidence; identify productive and financial transmission; update Financial Viability, capital cohort or shareholder claim where relevant; then decide whether valuation or portfolio action changes. Celerity publishes when evidence changes the decision system, not merely because the news cycle changes.</w:t>
      </w:r>
    </w:p>
    <w:p>
      <w:pPr>
        <w:pStyle w:val="Heading2"/>
      </w:pPr>
      <w:r>
        <w:rPr>
          <w:rFonts w:ascii="Arimo" w:hAnsi="Arimo" w:eastAsia="Arimo"/>
          <w:b/>
          <w:i w:val="0"/>
          <w:color w:val="173F5F"/>
          <w:sz w:val="23"/>
        </w:rPr>
        <w:t>31. Portfolio, CPSR and CMVTR review</w:t>
      </w:r>
    </w:p>
    <w:p>
      <w:pPr>
        <w:spacing w:before="0" w:after="80" w:line="250" w:lineRule="auto"/>
      </w:pPr>
      <w:r>
        <w:rPr>
          <w:rFonts w:ascii="Noto Serif" w:hAnsi="Noto Serif" w:eastAsia="Noto Serif"/>
          <w:b w:val="0"/>
          <w:i w:val="0"/>
          <w:color w:val="202428"/>
          <w:sz w:val="18"/>
        </w:rPr>
        <w:t>Published company research and mandate-specific implementation remain governed separately. Public research states capability, valuation and risk conditions. Portfolio construction applies mandate-specific concentration, liquidity, tax, correlation, cash and risk limits without altering the underlying thesis. CPSR and CMVTR retain explicit model status and do not override fundamental ownership judgment.</w:t>
      </w:r>
    </w:p>
    <w:p>
      <w:r>
        <w:br w:type="page"/>
      </w:r>
    </w:p>
    <w:p>
      <w:pPr>
        <w:pStyle w:val="Heading2"/>
      </w:pPr>
      <w:r>
        <w:rPr>
          <w:rFonts w:ascii="Arimo" w:hAnsi="Arimo" w:eastAsia="Arimo"/>
          <w:b/>
          <w:i w:val="0"/>
          <w:color w:val="173F5F"/>
          <w:sz w:val="23"/>
        </w:rPr>
        <w:t>32. Version control and governance</w:t>
      </w:r>
    </w:p>
    <w:tbl>
      <w:tblPr>
        <w:tblW w:type="auto" w:w="0"/>
        <w:jc w:val="center"/>
        <w:tblLayout w:type="fixed"/>
        <w:tblLook w:firstColumn="1" w:firstRow="1" w:lastColumn="0" w:lastRow="0" w:noHBand="0" w:noVBand="1" w:val="04A0"/>
      </w:tblPr>
      <w:tblGrid>
        <w:gridCol w:w="5061"/>
        <w:gridCol w:w="5061"/>
      </w:tblGrid>
      <w:tr>
        <w:trPr>
          <w:tblHeader w:val="true"/>
          <w:cantSplit/>
        </w:trPr>
        <w:tc>
          <w:tcPr>
            <w:tcW w:type="dxa" w:w="2880"/>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Control</w:t>
            </w:r>
          </w:p>
        </w:tc>
        <w:tc>
          <w:tcPr>
            <w:tcW w:type="dxa" w:w="7200"/>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Framework rule</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Framework version</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Architecture, policy weights and core definitions change only through documented CIF versioning.</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Company Agent Architecture</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Top-level engine taxonomy frozen at v1.0; sub-architectures and overlays evolve under controlled versioning.</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Company state version</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Material state changes create a new persistent baseline/update; history is not overwritten.</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Assumption register</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External assumptions are dated and versioned.</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Model status</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Validated, provisional, shadow or degraded status is visible where relevant.</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Evidence date</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Facts enter when publicly available, not at the period end to which they relate.</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Override record</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Material human departures from model or scoring output are recorded with rationale.</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Publication independence</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Public research conclusions remain independent of mandate-specific portfolio implementation.</w:t>
            </w:r>
          </w:p>
        </w:tc>
      </w:tr>
    </w:tbl>
    <w:p>
      <w:pPr>
        <w:spacing w:after="0"/>
      </w:pPr>
    </w:p>
    <w:p>
      <w:pPr>
        <w:keepNext/>
        <w:spacing w:before="200" w:after="80" w:line="240" w:lineRule="auto"/>
      </w:pPr>
      <w:r>
        <w:rPr>
          <w:rFonts w:ascii="Arimo" w:hAnsi="Arimo" w:eastAsia="Arimo"/>
          <w:b/>
          <w:i w:val="0"/>
          <w:color w:val="173F5F"/>
          <w:sz w:val="33"/>
        </w:rPr>
        <w:t>Part VI - A scalable research system</w:t>
      </w:r>
    </w:p>
    <w:p>
      <w:pPr>
        <w:pStyle w:val="Heading2"/>
      </w:pPr>
      <w:r>
        <w:rPr>
          <w:rFonts w:ascii="Arimo" w:hAnsi="Arimo" w:eastAsia="Arimo"/>
          <w:b/>
          <w:i w:val="0"/>
          <w:color w:val="173F5F"/>
          <w:sz w:val="23"/>
        </w:rPr>
        <w:t>33. Standard outputs</w:t>
      </w:r>
    </w:p>
    <w:tbl>
      <w:tblPr>
        <w:tblW w:type="auto" w:w="0"/>
        <w:jc w:val="center"/>
        <w:tblLayout w:type="fixed"/>
        <w:tblLook w:firstColumn="1" w:firstRow="1" w:lastColumn="0" w:lastRow="0" w:noHBand="0" w:noVBand="1" w:val="04A0"/>
      </w:tblPr>
      <w:tblGrid>
        <w:gridCol w:w="5061"/>
        <w:gridCol w:w="5061"/>
      </w:tblGrid>
      <w:tr>
        <w:trPr>
          <w:tblHeader w:val="true"/>
          <w:cantSplit/>
        </w:trPr>
        <w:tc>
          <w:tcPr>
            <w:tcW w:type="dxa" w:w="3168"/>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Output</w:t>
            </w:r>
          </w:p>
        </w:tc>
        <w:tc>
          <w:tcPr>
            <w:tcW w:type="dxa" w:w="6912"/>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Minimum content</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Company master record</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Identity, classification, engine architecture, evidence sources and version history.</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Company Agent State File</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Capability states, ledgers, viability, owner cash, claims, valuation attribution and falsification.</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CIF scorecard</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Nine stable policy dimensions plus Decision Risk.</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Financial / economic model</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Causal bridge from engine states to owner economics.</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Valuation states</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Downside, central, upside, reverse valuation and required-return discipline.</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Monitoring dashboard</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Company-specific leading capability, viability and economic indicators.</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Evidence ledger</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Dated material evidence and state effect.</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Upgrade / downgrade matrix</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Pre-specified evidence that strengthens, weakens or breaks the thesis.</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Publication record</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Latest canonical paper plus dated updates.</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Portfolio / CPSR / CMVTR record</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Mandate-specific allocation, resilience and path-risk decisions under separate governance.</w:t>
            </w:r>
          </w:p>
        </w:tc>
      </w:tr>
    </w:tbl>
    <w:p>
      <w:pPr>
        <w:spacing w:after="0"/>
      </w:pPr>
    </w:p>
    <w:p>
      <w:pPr>
        <w:pStyle w:val="Heading2"/>
      </w:pPr>
      <w:r>
        <w:rPr>
          <w:rFonts w:ascii="Arimo" w:hAnsi="Arimo" w:eastAsia="Arimo"/>
          <w:b/>
          <w:i w:val="0"/>
          <w:color w:val="173F5F"/>
          <w:sz w:val="23"/>
        </w:rPr>
        <w:t>34. Commercial robustness without product dependence</w:t>
      </w:r>
    </w:p>
    <w:p>
      <w:pPr>
        <w:spacing w:before="0" w:after="80" w:line="250" w:lineRule="auto"/>
      </w:pPr>
      <w:r>
        <w:rPr>
          <w:rFonts w:ascii="Noto Serif" w:hAnsi="Noto Serif" w:eastAsia="Noto Serif"/>
          <w:b w:val="0"/>
          <w:i w:val="0"/>
          <w:color w:val="202428"/>
          <w:sz w:val="18"/>
        </w:rPr>
        <w:t>The framework remains independent of any future distribution or investment product. A research method is more durable when evidence standards, company records, valuation discipline and monitoring do not need to be redesigned for each delivery format.</w:t>
      </w:r>
    </w:p>
    <w:p>
      <w:pPr>
        <w:spacing w:before="0" w:after="80" w:line="250" w:lineRule="auto"/>
      </w:pPr>
      <w:r>
        <w:rPr>
          <w:rFonts w:ascii="Noto Serif" w:hAnsi="Noto Serif" w:eastAsia="Noto Serif"/>
          <w:b w:val="0"/>
          <w:i w:val="0"/>
          <w:color w:val="202428"/>
          <w:sz w:val="18"/>
        </w:rPr>
        <w:t>Four characteristics make the framework scalable. Comparability: stable policy dimensions and evidence language across companies. Specificity: each company retains its own causal engine and capability architecture. Longitudinal memory: the Company Agent State File, evidence ledger and version history create a time series of judgments rather than disconnected reports. Modularity: initiation papers, periodic reviews, valuation updates, dashboards, CPSR and portfolio implementations can be generated from the same controlled state.</w:t>
      </w:r>
    </w:p>
    <w:p>
      <w:pPr>
        <w:spacing w:before="0" w:after="80" w:line="250" w:lineRule="auto"/>
      </w:pPr>
      <w:r>
        <w:rPr>
          <w:rFonts w:ascii="Noto Serif" w:hAnsi="Noto Serif" w:eastAsia="Noto Serif"/>
          <w:b w:val="0"/>
          <w:i w:val="0"/>
          <w:color w:val="202428"/>
          <w:sz w:val="18"/>
        </w:rPr>
        <w:t>The architecture creates a research asset that compounds. Every additional covered company increases the cross-context evidence base. Every review adds longitudinal evidence on capability formation, execution, compounding, decay, Financial Viability and shareholder capture. Every explicit upgrade or downgrade creates a testable decision.</w:t>
      </w:r>
    </w:p>
    <w:p>
      <w:pPr>
        <w:pStyle w:val="Heading2"/>
      </w:pPr>
      <w:r>
        <w:rPr>
          <w:rFonts w:ascii="Arimo" w:hAnsi="Arimo" w:eastAsia="Arimo"/>
          <w:b/>
          <w:i w:val="0"/>
          <w:color w:val="173F5F"/>
          <w:sz w:val="23"/>
        </w:rPr>
        <w:t>35. Conclusion</w:t>
      </w:r>
    </w:p>
    <w:p>
      <w:pPr>
        <w:spacing w:before="0" w:after="80" w:line="250" w:lineRule="auto"/>
      </w:pPr>
      <w:r>
        <w:rPr>
          <w:rFonts w:ascii="Noto Serif" w:hAnsi="Noto Serif" w:eastAsia="Noto Serif"/>
          <w:b w:val="0"/>
          <w:i w:val="0"/>
          <w:color w:val="202428"/>
          <w:sz w:val="18"/>
        </w:rPr>
        <w:t>CIF begins from a simple idea: investors should analyse the productive system that creates financial outcomes, not only the outcomes themselves. Capability Science supplies the leading-indicator organisational view. The Company Agent identifies the economic machine through which capability operates. Archetype-specific conversion and Financial Viability determine whether that machine can produce sustainable owner economics. Capital-allocation closure tests whether reinvestment actually earns its cost. Shareholder Value Capture determines who receives the economics. State valuation determines what that condition is worth. Portfolio construction, CPSR and CMVTR determine how the security should be owned under uncertainty. Monitoring closes the loop by forcing new evidence back into the persistent state.</w:t>
      </w:r>
    </w:p>
    <w:tbl>
      <w:tblPr>
        <w:tblW w:type="auto" w:w="0"/>
        <w:jc w:val="center"/>
        <w:tblLayout w:type="fixed"/>
        <w:tblLook w:firstColumn="1" w:firstRow="1" w:lastColumn="0" w:lastRow="0" w:noHBand="0" w:noVBand="1" w:val="04A0"/>
      </w:tblPr>
      <w:tblGrid>
        <w:gridCol w:w="2520"/>
        <w:gridCol w:w="7560"/>
      </w:tblGrid>
      <w:tr>
        <w:tc>
          <w:tcPr>
            <w:tcW w:type="dxa" w:w="5061"/>
            <w:tcMar>
              <w:top w:w="90" w:type="dxa"/>
              <w:start w:w="110" w:type="dxa"/>
              <w:bottom w:w="90" w:type="dxa"/>
              <w:end w:w="110" w:type="dxa"/>
            </w:tcMar>
            <w:shd w:fill="8A6A12"/>
            <w:tcBorders>
              <w:top w:val="single" w:sz="5" w:color="D9D2B9"/>
              <w:left w:val="single" w:sz="5" w:color="D9D2B9"/>
              <w:bottom w:val="single" w:sz="5" w:color="D9D2B9"/>
              <w:right w:val="single" w:sz="5" w:color="D9D2B9"/>
            </w:tcBorders>
          </w:tcPr>
          <w:p>
            <w:pPr>
              <w:spacing w:before="0" w:after="0" w:line="240" w:lineRule="auto"/>
            </w:pPr>
            <w:r>
              <w:rPr>
                <w:rFonts w:ascii="Noto Serif" w:hAnsi="Noto Serif" w:eastAsia="Noto Serif"/>
                <w:b/>
                <w:i w:val="0"/>
                <w:color w:val="FFFFFF"/>
                <w:sz w:val="15"/>
              </w:rPr>
              <w:t>Canonical sequence</w:t>
            </w:r>
          </w:p>
        </w:tc>
        <w:tc>
          <w:tcPr>
            <w:tcW w:type="dxa" w:w="5061"/>
            <w:tcMar>
              <w:top w:w="90" w:type="dxa"/>
              <w:start w:w="110" w:type="dxa"/>
              <w:bottom w:w="90" w:type="dxa"/>
              <w:end w:w="110" w:type="dxa"/>
            </w:tcMar>
            <w:shd w:fill="F3EEDB"/>
            <w:tcBorders>
              <w:top w:val="single" w:sz="5" w:color="D9D2B9"/>
              <w:left w:val="single" w:sz="5" w:color="D9D2B9"/>
              <w:bottom w:val="single" w:sz="5" w:color="D9D2B9"/>
              <w:right w:val="single" w:sz="5" w:color="D9D2B9"/>
            </w:tcBorders>
          </w:tcPr>
          <w:p>
            <w:pPr>
              <w:spacing w:before="0" w:after="0" w:line="240" w:lineRule="auto"/>
            </w:pPr>
            <w:r>
              <w:rPr>
                <w:rFonts w:ascii="Noto Serif" w:hAnsi="Noto Serif" w:eastAsia="Noto Serif"/>
                <w:b w:val="0"/>
                <w:i w:val="0"/>
                <w:color w:val="202428"/>
                <w:sz w:val="15"/>
              </w:rPr>
              <w:t>External State -&gt; Economic Engine Architecture -&gt; Capability -&gt; Execution -&gt; Archetype-Specific Economic Conversion -&gt; Financial Viability -&gt; Capital Allocation Closure -&gt; Shareholder Value Capture -&gt; Valuation -&gt; Portfolio Decision -&gt; CPSR / CMVTR -&gt; Monitoring -&gt; New Evidence -&gt; State Delta.</w:t>
            </w:r>
          </w:p>
        </w:tc>
      </w:tr>
    </w:tbl>
    <w:p>
      <w:pPr>
        <w:spacing w:after="0"/>
      </w:pPr>
    </w:p>
    <w:p>
      <w:pPr>
        <w:spacing w:before="0" w:after="80" w:line="250" w:lineRule="auto"/>
      </w:pPr>
      <w:r>
        <w:rPr>
          <w:rFonts w:ascii="Noto Serif" w:hAnsi="Noto Serif" w:eastAsia="Noto Serif"/>
          <w:b w:val="0"/>
          <w:i w:val="0"/>
          <w:color w:val="202428"/>
          <w:sz w:val="18"/>
        </w:rPr>
        <w:t>The framework is neither a static checklist nor a one-time valuation model. It is a controlled research system designed to preserve causality, uncertainty, evidence lineage, shareholder economics and the ability to change one's mind. This is the current Celerity Investment Framework.</w:t>
      </w:r>
    </w:p>
    <w:p>
      <w:pPr>
        <w:pStyle w:val="Heading1"/>
      </w:pPr>
      <w:r>
        <w:rPr>
          <w:rFonts w:ascii="Arimo" w:hAnsi="Arimo" w:eastAsia="Arimo"/>
          <w:b/>
          <w:i w:val="0"/>
          <w:color w:val="173F5F"/>
          <w:sz w:val="33"/>
        </w:rPr>
        <w:t>Appendix A - Celerity policy weights and interpretation</w:t>
      </w:r>
    </w:p>
    <w:tbl>
      <w:tblPr>
        <w:tblW w:type="auto" w:w="0"/>
        <w:jc w:val="center"/>
        <w:tblLayout w:type="fixed"/>
        <w:tblLook w:firstColumn="1" w:firstRow="1" w:lastColumn="0" w:lastRow="0" w:noHBand="0" w:noVBand="1" w:val="04A0"/>
      </w:tblPr>
      <w:tblGrid>
        <w:gridCol w:w="3374"/>
        <w:gridCol w:w="3374"/>
        <w:gridCol w:w="3374"/>
      </w:tblGrid>
      <w:tr>
        <w:trPr>
          <w:tblHeader w:val="true"/>
          <w:cantSplit/>
        </w:trPr>
        <w:tc>
          <w:tcPr>
            <w:tcW w:type="dxa" w:w="3456"/>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Dimension</w:t>
            </w:r>
          </w:p>
        </w:tc>
        <w:tc>
          <w:tcPr>
            <w:tcW w:type="dxa" w:w="1440"/>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Weight</w:t>
            </w:r>
          </w:p>
        </w:tc>
        <w:tc>
          <w:tcPr>
            <w:tcW w:type="dxa" w:w="5184"/>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Interpretive emphasis</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Economic</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7.5%</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Regime, nominal growth, rates, credit, inflation, pricing and macro transmission.</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Geopolitical / Sovereign</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7.5%</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State power, market access, strategic importance, regulation, licence and supply security.</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Technology &amp; Infrastructure Cycles</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10.0%</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Technology reality, build-out phase, bottlenecks, adoption, value capture and obsolescence.</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Industry Structure</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10.0%</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Rivalry, entrants, supplier/buyer power, substitutes, capacity and regulation.</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Competitive Power</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15.0%</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Durable barriers, process power, scale, switching, brand, networks, resources and customer value.</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Compounder Quality</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20.0%</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ROIC, incremental returns, reinvestment runway, cash conversion, resilience and compounding duration.</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Management &amp; Culture</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10.0%</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Capital allocation, decision quality, coherence, learning, incentives and culture.</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Innovation &amp; Finance</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7.5%</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Productive innovation, optionality, funding, dilution, adjacent capability and capital discipline.</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Valuation &amp; Portfolio Construction</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12.5%</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Market-implied expectations, fair-value states, expected return, downside, portfolio role and size.</w:t>
            </w:r>
          </w:p>
        </w:tc>
      </w:tr>
    </w:tbl>
    <w:p>
      <w:pPr>
        <w:spacing w:after="0"/>
      </w:pPr>
    </w:p>
    <w:p>
      <w:pPr>
        <w:spacing w:before="0" w:after="80" w:line="250" w:lineRule="auto"/>
      </w:pPr>
      <w:r>
        <w:rPr>
          <w:rFonts w:ascii="Noto Serif" w:hAnsi="Noto Serif" w:eastAsia="Noto Serif"/>
          <w:b w:val="0"/>
          <w:i w:val="0"/>
          <w:color w:val="202428"/>
          <w:sz w:val="18"/>
        </w:rPr>
        <w:t>Interpretation rule: the aggregate score supports comparison and research prioritisation. It does not override causal architecture, a confirmed binding constraint, Financial Viability failure, broken Shareholder Value Capture, severe Decision Risk, inadequate evidence or valuation that fails the required-return test.</w:t>
      </w:r>
    </w:p>
    <w:p>
      <w:pPr>
        <w:pStyle w:val="Heading1"/>
      </w:pPr>
      <w:r>
        <w:rPr>
          <w:rFonts w:ascii="Arimo" w:hAnsi="Arimo" w:eastAsia="Arimo"/>
          <w:b/>
          <w:i w:val="0"/>
          <w:color w:val="173F5F"/>
          <w:sz w:val="33"/>
        </w:rPr>
        <w:t>Appendix B - Capability and Company Agent dictionary</w:t>
      </w:r>
    </w:p>
    <w:tbl>
      <w:tblPr>
        <w:tblW w:type="auto" w:w="0"/>
        <w:jc w:val="center"/>
        <w:tblLayout w:type="fixed"/>
        <w:tblLook w:firstColumn="1" w:firstRow="1" w:lastColumn="0" w:lastRow="0" w:noHBand="0" w:noVBand="1" w:val="04A0"/>
      </w:tblPr>
      <w:tblGrid>
        <w:gridCol w:w="5061"/>
        <w:gridCol w:w="5061"/>
      </w:tblGrid>
      <w:tr>
        <w:trPr>
          <w:tblHeader w:val="true"/>
          <w:cantSplit/>
        </w:trPr>
        <w:tc>
          <w:tcPr>
            <w:tcW w:type="dxa" w:w="3168"/>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Term</w:t>
            </w:r>
          </w:p>
        </w:tc>
        <w:tc>
          <w:tcPr>
            <w:tcW w:type="dxa" w:w="6912"/>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Celerity definition</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Capability</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Repeatable organisational capacity to produce a required outcome under changing conditions.</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Operational</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Capability repeatedly produces the required outcome.</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Compounding</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Accumulated capability makes later execution, formation or renewal faster, cheaper, better or more reliable.</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Renewing</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Capability is being redesigned or refreshed to preserve productive capacity.</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Decaying</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Stored productive capacity is weakening before or alongside reported performance.</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Economic Engine</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The causal business architecture through which capability converts into owner economics.</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Financial Viability</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Ability to reach the next economic closure point without value-destructive financing.</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Capital cohort</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A bounded acquisition, project, development or transformation investment tracked to owner-return closure.</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Shareholder Value Capture</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Value accruing to continuing owners after all economic capital, financing and dilution claims.</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Structural Float</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Durable negative working capital arising from ordinary customer/supplier economics rather than distress.</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Stress Funding</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Creditors or emergency capital financing ordinary survival.</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202428"/>
                <w:sz w:val="14"/>
              </w:rPr>
              <w:t>State Delta</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The controlled change to the persistent Company Agent caused by new evidence.</w:t>
            </w:r>
          </w:p>
        </w:tc>
      </w:tr>
    </w:tbl>
    <w:p>
      <w:pPr>
        <w:spacing w:after="0"/>
      </w:pPr>
    </w:p>
    <w:p>
      <w:pPr>
        <w:pStyle w:val="Heading1"/>
      </w:pPr>
      <w:r>
        <w:rPr>
          <w:rFonts w:ascii="Arimo" w:hAnsi="Arimo" w:eastAsia="Arimo"/>
          <w:b/>
          <w:i w:val="0"/>
          <w:color w:val="173F5F"/>
          <w:sz w:val="33"/>
        </w:rPr>
        <w:t>Appendix C - Default review cadence</w:t>
      </w:r>
    </w:p>
    <w:tbl>
      <w:tblPr>
        <w:tblW w:type="auto" w:w="0"/>
        <w:jc w:val="center"/>
        <w:tblLayout w:type="fixed"/>
        <w:tblLook w:firstColumn="1" w:firstRow="1" w:lastColumn="0" w:lastRow="0" w:noHBand="0" w:noVBand="1" w:val="04A0"/>
      </w:tblPr>
      <w:tblGrid>
        <w:gridCol w:w="3374"/>
        <w:gridCol w:w="3374"/>
        <w:gridCol w:w="3374"/>
      </w:tblGrid>
      <w:tr>
        <w:trPr>
          <w:tblHeader w:val="true"/>
          <w:cantSplit/>
        </w:trPr>
        <w:tc>
          <w:tcPr>
            <w:tcW w:type="dxa" w:w="2592"/>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Cadence</w:t>
            </w:r>
          </w:p>
        </w:tc>
        <w:tc>
          <w:tcPr>
            <w:tcW w:type="dxa" w:w="2880"/>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Review object</w:t>
            </w:r>
          </w:p>
        </w:tc>
        <w:tc>
          <w:tcPr>
            <w:tcW w:type="dxa" w:w="4608"/>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Core question</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Continuous</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Evidence ledger</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Did a material fact change engine, capability, viability, valuation or risk state?</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Quarterly</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Company Agent</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What improved, weakened, became a constraint or changed confidence?</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Reporting event</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Economic conversion</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Did operating/financial outcomes confirm or contradict the causal thesis?</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Reporting event / material change</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Valuation</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Did fair value, required return or market-implied state change?</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Quarterly</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Portfolio</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Does exposure remain rational relative to value, evidence, correlation and alternatives?</w:t>
            </w:r>
          </w:p>
        </w:tc>
      </w:tr>
      <w:tr>
        <w:trPr>
          <w:cantSplit/>
        </w:trPr>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At least annually</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Full re-underwrite</w:t>
            </w:r>
          </w:p>
        </w:tc>
        <w:tc>
          <w:tcPr>
            <w:tcW w:type="dxa" w:w="3374"/>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Would the security qualify today, and how does the answer differ from the prior state?</w:t>
            </w:r>
          </w:p>
        </w:tc>
      </w:tr>
      <w:tr>
        <w:trPr>
          <w:cantSplit/>
        </w:trPr>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As material</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CPSR / CMVTR</w:t>
            </w:r>
          </w:p>
        </w:tc>
        <w:tc>
          <w:tcPr>
            <w:tcW w:type="dxa" w:w="3374"/>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Has vulnerability, Threat, path risk or protection economics changed enough to warrant action?</w:t>
            </w:r>
          </w:p>
        </w:tc>
      </w:tr>
    </w:tbl>
    <w:p>
      <w:pPr>
        <w:spacing w:after="0"/>
      </w:pPr>
    </w:p>
    <w:p>
      <w:pPr>
        <w:pStyle w:val="Heading1"/>
      </w:pPr>
      <w:r>
        <w:rPr>
          <w:rFonts w:ascii="Arimo" w:hAnsi="Arimo" w:eastAsia="Arimo"/>
          <w:b/>
          <w:i w:val="0"/>
          <w:color w:val="173F5F"/>
          <w:sz w:val="33"/>
        </w:rPr>
        <w:t>Appendix D - Minimum company research pack</w:t>
      </w:r>
    </w:p>
    <w:p>
      <w:pPr>
        <w:pStyle w:val="SmallBody"/>
        <w:spacing w:after="16"/>
        <w:ind w:left="173" w:hanging="173"/>
      </w:pPr>
      <w:r>
        <w:rPr>
          <w:rFonts w:ascii="Noto Serif" w:hAnsi="Noto Serif" w:eastAsia="Noto Serif"/>
          <w:b/>
          <w:i w:val="0"/>
          <w:color w:val="8A6A12"/>
          <w:sz w:val="15"/>
        </w:rPr>
        <w:t xml:space="preserve">• </w:t>
      </w:r>
      <w:r>
        <w:rPr>
          <w:rFonts w:ascii="Noto Serif" w:hAnsi="Noto Serif" w:eastAsia="Noto Serif"/>
          <w:b w:val="0"/>
          <w:i w:val="0"/>
          <w:color w:val="202428"/>
          <w:sz w:val="16"/>
        </w:rPr>
        <w:t>Investment question and classification.</w:t>
      </w:r>
    </w:p>
    <w:p>
      <w:pPr>
        <w:pStyle w:val="SmallBody"/>
        <w:spacing w:after="16"/>
        <w:ind w:left="173" w:hanging="173"/>
      </w:pPr>
      <w:r>
        <w:rPr>
          <w:rFonts w:ascii="Noto Serif" w:hAnsi="Noto Serif" w:eastAsia="Noto Serif"/>
          <w:b/>
          <w:i w:val="0"/>
          <w:color w:val="8A6A12"/>
          <w:sz w:val="15"/>
        </w:rPr>
        <w:t xml:space="preserve">• </w:t>
      </w:r>
      <w:r>
        <w:rPr>
          <w:rFonts w:ascii="Noto Serif" w:hAnsi="Noto Serif" w:eastAsia="Noto Serif"/>
          <w:b w:val="0"/>
          <w:i w:val="0"/>
          <w:color w:val="202428"/>
          <w:sz w:val="16"/>
        </w:rPr>
        <w:t>Source and evidence register.</w:t>
      </w:r>
    </w:p>
    <w:p>
      <w:pPr>
        <w:pStyle w:val="SmallBody"/>
        <w:spacing w:after="16"/>
        <w:ind w:left="173" w:hanging="173"/>
      </w:pPr>
      <w:r>
        <w:rPr>
          <w:rFonts w:ascii="Noto Serif" w:hAnsi="Noto Serif" w:eastAsia="Noto Serif"/>
          <w:b/>
          <w:i w:val="0"/>
          <w:color w:val="8A6A12"/>
          <w:sz w:val="15"/>
        </w:rPr>
        <w:t xml:space="preserve">• </w:t>
      </w:r>
      <w:r>
        <w:rPr>
          <w:rFonts w:ascii="Noto Serif" w:hAnsi="Noto Serif" w:eastAsia="Noto Serif"/>
          <w:b w:val="0"/>
          <w:i w:val="0"/>
          <w:color w:val="202428"/>
          <w:sz w:val="16"/>
        </w:rPr>
        <w:t>Economic Engine Architecture, sub-architectures and overlays.</w:t>
      </w:r>
    </w:p>
    <w:p>
      <w:pPr>
        <w:pStyle w:val="SmallBody"/>
        <w:spacing w:after="16"/>
        <w:ind w:left="173" w:hanging="173"/>
      </w:pPr>
      <w:r>
        <w:rPr>
          <w:rFonts w:ascii="Noto Serif" w:hAnsi="Noto Serif" w:eastAsia="Noto Serif"/>
          <w:b/>
          <w:i w:val="0"/>
          <w:color w:val="8A6A12"/>
          <w:sz w:val="15"/>
        </w:rPr>
        <w:t xml:space="preserve">• </w:t>
      </w:r>
      <w:r>
        <w:rPr>
          <w:rFonts w:ascii="Noto Serif" w:hAnsi="Noto Serif" w:eastAsia="Noto Serif"/>
          <w:b w:val="0"/>
          <w:i w:val="0"/>
          <w:color w:val="202428"/>
          <w:sz w:val="16"/>
        </w:rPr>
        <w:t>Capability State Matrix.</w:t>
      </w:r>
    </w:p>
    <w:p>
      <w:pPr>
        <w:pStyle w:val="SmallBody"/>
        <w:spacing w:after="16"/>
        <w:ind w:left="173" w:hanging="173"/>
      </w:pPr>
      <w:r>
        <w:rPr>
          <w:rFonts w:ascii="Noto Serif" w:hAnsi="Noto Serif" w:eastAsia="Noto Serif"/>
          <w:b/>
          <w:i w:val="0"/>
          <w:color w:val="8A6A12"/>
          <w:sz w:val="15"/>
        </w:rPr>
        <w:t xml:space="preserve">• </w:t>
      </w:r>
      <w:r>
        <w:rPr>
          <w:rFonts w:ascii="Noto Serif" w:hAnsi="Noto Serif" w:eastAsia="Noto Serif"/>
          <w:b w:val="0"/>
          <w:i w:val="0"/>
          <w:color w:val="202428"/>
          <w:sz w:val="16"/>
        </w:rPr>
        <w:t>Management Representation Ledger.</w:t>
      </w:r>
    </w:p>
    <w:p>
      <w:pPr>
        <w:pStyle w:val="SmallBody"/>
        <w:spacing w:after="16"/>
        <w:ind w:left="173" w:hanging="173"/>
      </w:pPr>
      <w:r>
        <w:rPr>
          <w:rFonts w:ascii="Noto Serif" w:hAnsi="Noto Serif" w:eastAsia="Noto Serif"/>
          <w:b/>
          <w:i w:val="0"/>
          <w:color w:val="8A6A12"/>
          <w:sz w:val="15"/>
        </w:rPr>
        <w:t xml:space="preserve">• </w:t>
      </w:r>
      <w:r>
        <w:rPr>
          <w:rFonts w:ascii="Noto Serif" w:hAnsi="Noto Serif" w:eastAsia="Noto Serif"/>
          <w:b w:val="0"/>
          <w:i w:val="0"/>
          <w:color w:val="202428"/>
          <w:sz w:val="16"/>
        </w:rPr>
        <w:t>Capital cohort genealogy and closure tests.</w:t>
      </w:r>
    </w:p>
    <w:p>
      <w:pPr>
        <w:pStyle w:val="SmallBody"/>
        <w:spacing w:after="16"/>
        <w:ind w:left="173" w:hanging="173"/>
      </w:pPr>
      <w:r>
        <w:rPr>
          <w:rFonts w:ascii="Noto Serif" w:hAnsi="Noto Serif" w:eastAsia="Noto Serif"/>
          <w:b/>
          <w:i w:val="0"/>
          <w:color w:val="8A6A12"/>
          <w:sz w:val="15"/>
        </w:rPr>
        <w:t xml:space="preserve">• </w:t>
      </w:r>
      <w:r>
        <w:rPr>
          <w:rFonts w:ascii="Noto Serif" w:hAnsi="Noto Serif" w:eastAsia="Noto Serif"/>
          <w:b w:val="0"/>
          <w:i w:val="0"/>
          <w:color w:val="202428"/>
          <w:sz w:val="16"/>
        </w:rPr>
        <w:t>Working-capital/funding classification and independent Financial Viability gate.</w:t>
      </w:r>
    </w:p>
    <w:p>
      <w:pPr>
        <w:pStyle w:val="SmallBody"/>
        <w:spacing w:after="16"/>
        <w:ind w:left="173" w:hanging="173"/>
      </w:pPr>
      <w:r>
        <w:rPr>
          <w:rFonts w:ascii="Noto Serif" w:hAnsi="Noto Serif" w:eastAsia="Noto Serif"/>
          <w:b/>
          <w:i w:val="0"/>
          <w:color w:val="8A6A12"/>
          <w:sz w:val="15"/>
        </w:rPr>
        <w:t xml:space="preserve">• </w:t>
      </w:r>
      <w:r>
        <w:rPr>
          <w:rFonts w:ascii="Noto Serif" w:hAnsi="Noto Serif" w:eastAsia="Noto Serif"/>
          <w:b w:val="0"/>
          <w:i w:val="0"/>
          <w:color w:val="202428"/>
          <w:sz w:val="16"/>
        </w:rPr>
        <w:t>Archetype-specific owner-cash model.</w:t>
      </w:r>
    </w:p>
    <w:p>
      <w:pPr>
        <w:pStyle w:val="SmallBody"/>
        <w:spacing w:after="16"/>
        <w:ind w:left="173" w:hanging="173"/>
      </w:pPr>
      <w:r>
        <w:rPr>
          <w:rFonts w:ascii="Noto Serif" w:hAnsi="Noto Serif" w:eastAsia="Noto Serif"/>
          <w:b/>
          <w:i w:val="0"/>
          <w:color w:val="8A6A12"/>
          <w:sz w:val="15"/>
        </w:rPr>
        <w:t xml:space="preserve">• </w:t>
      </w:r>
      <w:r>
        <w:rPr>
          <w:rFonts w:ascii="Noto Serif" w:hAnsi="Noto Serif" w:eastAsia="Noto Serif"/>
          <w:b w:val="0"/>
          <w:i w:val="0"/>
          <w:color w:val="202428"/>
          <w:sz w:val="16"/>
        </w:rPr>
        <w:t>Economic claim/dilution genealogy and Shareholder Value Capture.</w:t>
      </w:r>
    </w:p>
    <w:p>
      <w:pPr>
        <w:pStyle w:val="SmallBody"/>
        <w:spacing w:after="16"/>
        <w:ind w:left="173" w:hanging="173"/>
      </w:pPr>
      <w:r>
        <w:rPr>
          <w:rFonts w:ascii="Noto Serif" w:hAnsi="Noto Serif" w:eastAsia="Noto Serif"/>
          <w:b/>
          <w:i w:val="0"/>
          <w:color w:val="8A6A12"/>
          <w:sz w:val="15"/>
        </w:rPr>
        <w:t xml:space="preserve">• </w:t>
      </w:r>
      <w:r>
        <w:rPr>
          <w:rFonts w:ascii="Noto Serif" w:hAnsi="Noto Serif" w:eastAsia="Noto Serif"/>
          <w:b w:val="0"/>
          <w:i w:val="0"/>
          <w:color w:val="202428"/>
          <w:sz w:val="16"/>
        </w:rPr>
        <w:t>CIF nine-dimension scorecard.</w:t>
      </w:r>
    </w:p>
    <w:p>
      <w:pPr>
        <w:pStyle w:val="SmallBody"/>
        <w:spacing w:after="16"/>
        <w:ind w:left="173" w:hanging="173"/>
      </w:pPr>
      <w:r>
        <w:rPr>
          <w:rFonts w:ascii="Noto Serif" w:hAnsi="Noto Serif" w:eastAsia="Noto Serif"/>
          <w:b/>
          <w:i w:val="0"/>
          <w:color w:val="8A6A12"/>
          <w:sz w:val="15"/>
        </w:rPr>
        <w:t xml:space="preserve">• </w:t>
      </w:r>
      <w:r>
        <w:rPr>
          <w:rFonts w:ascii="Noto Serif" w:hAnsi="Noto Serif" w:eastAsia="Noto Serif"/>
          <w:b w:val="0"/>
          <w:i w:val="0"/>
          <w:color w:val="202428"/>
          <w:sz w:val="16"/>
        </w:rPr>
        <w:t>Downside, central, upside, market-implied and required-return valuation states.</w:t>
      </w:r>
    </w:p>
    <w:p>
      <w:pPr>
        <w:pStyle w:val="SmallBody"/>
        <w:spacing w:after="16"/>
        <w:ind w:left="173" w:hanging="173"/>
      </w:pPr>
      <w:r>
        <w:rPr>
          <w:rFonts w:ascii="Noto Serif" w:hAnsi="Noto Serif" w:eastAsia="Noto Serif"/>
          <w:b/>
          <w:i w:val="0"/>
          <w:color w:val="8A6A12"/>
          <w:sz w:val="15"/>
        </w:rPr>
        <w:t xml:space="preserve">• </w:t>
      </w:r>
      <w:r>
        <w:rPr>
          <w:rFonts w:ascii="Noto Serif" w:hAnsi="Noto Serif" w:eastAsia="Noto Serif"/>
          <w:b w:val="0"/>
          <w:i w:val="0"/>
          <w:color w:val="202428"/>
          <w:sz w:val="16"/>
        </w:rPr>
        <w:t>Valuation Attribution Ledger.</w:t>
      </w:r>
    </w:p>
    <w:p>
      <w:pPr>
        <w:pStyle w:val="SmallBody"/>
        <w:spacing w:after="16"/>
        <w:ind w:left="173" w:hanging="173"/>
      </w:pPr>
      <w:r>
        <w:rPr>
          <w:rFonts w:ascii="Noto Serif" w:hAnsi="Noto Serif" w:eastAsia="Noto Serif"/>
          <w:b/>
          <w:i w:val="0"/>
          <w:color w:val="8A6A12"/>
          <w:sz w:val="15"/>
        </w:rPr>
        <w:t xml:space="preserve">• </w:t>
      </w:r>
      <w:r>
        <w:rPr>
          <w:rFonts w:ascii="Noto Serif" w:hAnsi="Noto Serif" w:eastAsia="Noto Serif"/>
          <w:b w:val="0"/>
          <w:i w:val="0"/>
          <w:color w:val="202428"/>
          <w:sz w:val="16"/>
        </w:rPr>
        <w:t>Decision Risk assessment and pre-mortem.</w:t>
      </w:r>
    </w:p>
    <w:p>
      <w:pPr>
        <w:pStyle w:val="SmallBody"/>
        <w:spacing w:after="16"/>
        <w:ind w:left="173" w:hanging="173"/>
      </w:pPr>
      <w:r>
        <w:rPr>
          <w:rFonts w:ascii="Noto Serif" w:hAnsi="Noto Serif" w:eastAsia="Noto Serif"/>
          <w:b/>
          <w:i w:val="0"/>
          <w:color w:val="8A6A12"/>
          <w:sz w:val="15"/>
        </w:rPr>
        <w:t xml:space="preserve">• </w:t>
      </w:r>
      <w:r>
        <w:rPr>
          <w:rFonts w:ascii="Noto Serif" w:hAnsi="Noto Serif" w:eastAsia="Noto Serif"/>
          <w:b w:val="0"/>
          <w:i w:val="0"/>
          <w:color w:val="202428"/>
          <w:sz w:val="16"/>
        </w:rPr>
        <w:t>Upgrade, downgrade and thesis-break conditions.</w:t>
      </w:r>
    </w:p>
    <w:p>
      <w:pPr>
        <w:pStyle w:val="SmallBody"/>
        <w:spacing w:after="16"/>
        <w:ind w:left="173" w:hanging="173"/>
      </w:pPr>
      <w:r>
        <w:rPr>
          <w:rFonts w:ascii="Noto Serif" w:hAnsi="Noto Serif" w:eastAsia="Noto Serif"/>
          <w:b/>
          <w:i w:val="0"/>
          <w:color w:val="8A6A12"/>
          <w:sz w:val="15"/>
        </w:rPr>
        <w:t xml:space="preserve">• </w:t>
      </w:r>
      <w:r>
        <w:rPr>
          <w:rFonts w:ascii="Noto Serif" w:hAnsi="Noto Serif" w:eastAsia="Noto Serif"/>
          <w:b w:val="0"/>
          <w:i w:val="0"/>
          <w:color w:val="202428"/>
          <w:sz w:val="16"/>
        </w:rPr>
        <w:t>Monitoring dashboard and evidence ledger.</w:t>
      </w:r>
    </w:p>
    <w:p>
      <w:pPr>
        <w:pStyle w:val="SmallBody"/>
        <w:spacing w:after="16"/>
        <w:ind w:left="173" w:hanging="173"/>
      </w:pPr>
      <w:r>
        <w:rPr>
          <w:rFonts w:ascii="Noto Serif" w:hAnsi="Noto Serif" w:eastAsia="Noto Serif"/>
          <w:b/>
          <w:i w:val="0"/>
          <w:color w:val="8A6A12"/>
          <w:sz w:val="15"/>
        </w:rPr>
        <w:t xml:space="preserve">• </w:t>
      </w:r>
      <w:r>
        <w:rPr>
          <w:rFonts w:ascii="Noto Serif" w:hAnsi="Noto Serif" w:eastAsia="Noto Serif"/>
          <w:b w:val="0"/>
          <w:i w:val="0"/>
          <w:color w:val="202428"/>
          <w:sz w:val="16"/>
        </w:rPr>
        <w:t>Portfolio role and CPSR/CMVTR model-status record where applicable.</w:t>
      </w:r>
    </w:p>
    <w:p>
      <w:pPr>
        <w:pStyle w:val="SmallBody"/>
        <w:spacing w:after="16"/>
        <w:ind w:left="173" w:hanging="173"/>
      </w:pPr>
      <w:r>
        <w:rPr>
          <w:rFonts w:ascii="Noto Serif" w:hAnsi="Noto Serif" w:eastAsia="Noto Serif"/>
          <w:b/>
          <w:i w:val="0"/>
          <w:color w:val="8A6A12"/>
          <w:sz w:val="15"/>
        </w:rPr>
        <w:t xml:space="preserve">• </w:t>
      </w:r>
      <w:r>
        <w:rPr>
          <w:rFonts w:ascii="Noto Serif" w:hAnsi="Noto Serif" w:eastAsia="Noto Serif"/>
          <w:b w:val="0"/>
          <w:i w:val="0"/>
          <w:color w:val="202428"/>
          <w:sz w:val="16"/>
        </w:rPr>
        <w:t>Publication, model and assumption version log.</w:t>
      </w:r>
    </w:p>
    <w:p>
      <w:pPr>
        <w:pStyle w:val="Heading1"/>
      </w:pPr>
      <w:r>
        <w:rPr>
          <w:rFonts w:ascii="Arimo" w:hAnsi="Arimo" w:eastAsia="Arimo"/>
          <w:b/>
          <w:i w:val="0"/>
          <w:color w:val="173F5F"/>
          <w:sz w:val="33"/>
        </w:rPr>
        <w:t>Appendix E - Controlled interface map</w:t>
      </w:r>
    </w:p>
    <w:tbl>
      <w:tblPr>
        <w:tblW w:type="auto" w:w="0"/>
        <w:jc w:val="center"/>
        <w:tblLayout w:type="fixed"/>
        <w:tblLook w:firstColumn="1" w:firstRow="1" w:lastColumn="0" w:lastRow="0" w:noHBand="0" w:noVBand="1" w:val="04A0"/>
      </w:tblPr>
      <w:tblGrid>
        <w:gridCol w:w="5061"/>
        <w:gridCol w:w="5061"/>
      </w:tblGrid>
      <w:tr>
        <w:trPr>
          <w:tblHeader w:val="true"/>
          <w:cantSplit/>
        </w:trPr>
        <w:tc>
          <w:tcPr>
            <w:tcW w:type="dxa" w:w="4752"/>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Publication / methodology</w:t>
            </w:r>
          </w:p>
        </w:tc>
        <w:tc>
          <w:tcPr>
            <w:tcW w:type="dxa" w:w="5328"/>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Status in CIF v2.0</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Celerity Investment Framework (CIF)</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Current master investment decision architecture.</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Celerity Company Agent Architecture v1.0</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Controlled company-level causal architecture referenced by CIF.</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Celerity Portfolio State &amp; Resilience Research (CPSR)</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Controlled resilience/loss methodology referenced downstream by CIF.</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Valuation, Volatility and the Price of Protection (CMVTR)</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Controlled path-risk/risk-transfer methodology referenced downstream by CIF.</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Capability Science Foundations / Applied Theory</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Upstream organisational theory and capability definitions.</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WP-001 and TS-001 to TS-003</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Frozen historical-validation methodology; not retrospectively rewritten by CIF v2.0.</w:t>
            </w:r>
          </w:p>
        </w:tc>
      </w:tr>
    </w:tbl>
    <w:p>
      <w:pPr>
        <w:pStyle w:val="Heading1"/>
        <w:pageBreakBefore/>
      </w:pPr>
      <w:r>
        <w:rPr>
          <w:rFonts w:ascii="Arimo" w:hAnsi="Arimo" w:eastAsia="Arimo"/>
          <w:b/>
          <w:i w:val="0"/>
          <w:color w:val="173F5F"/>
          <w:sz w:val="33"/>
        </w:rPr>
        <w:t>Appendix F - Acronyms and publication rule</w:t>
      </w:r>
    </w:p>
    <w:p>
      <w:pPr>
        <w:spacing w:before="0" w:after="80" w:line="250" w:lineRule="auto"/>
      </w:pPr>
      <w:r>
        <w:rPr>
          <w:rFonts w:ascii="Noto Serif" w:hAnsi="Noto Serif" w:eastAsia="Noto Serif"/>
          <w:b w:val="0"/>
          <w:i w:val="0"/>
          <w:color w:val="202428"/>
          <w:sz w:val="18"/>
        </w:rPr>
        <w:t>Every acronym is written in full at first use, with the acronym immediately afterward in brackets. Acronym-only use is permitted only after that definition.</w:t>
      </w:r>
    </w:p>
    <w:tbl>
      <w:tblPr>
        <w:tblW w:type="auto" w:w="0"/>
        <w:jc w:val="center"/>
        <w:tblLayout w:type="fixed"/>
        <w:tblLook w:firstColumn="1" w:firstRow="1" w:lastColumn="0" w:lastRow="0" w:noHBand="0" w:noVBand="1" w:val="04A0"/>
      </w:tblPr>
      <w:tblGrid>
        <w:gridCol w:w="5061"/>
        <w:gridCol w:w="5061"/>
      </w:tblGrid>
      <w:tr>
        <w:trPr>
          <w:tblHeader w:val="true"/>
          <w:cantSplit/>
        </w:trPr>
        <w:tc>
          <w:tcPr>
            <w:tcW w:type="dxa" w:w="2304"/>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Acronym</w:t>
            </w:r>
          </w:p>
        </w:tc>
        <w:tc>
          <w:tcPr>
            <w:tcW w:type="dxa" w:w="7776"/>
            <w:shd w:fill="173F5F"/>
            <w:tcMar>
              <w:top w:w="55" w:type="dxa"/>
              <w:start w:w="70" w:type="dxa"/>
              <w:bottom w:w="55" w:type="dxa"/>
              <w:end w:w="70" w:type="dxa"/>
            </w:tcMar>
            <w:vAlign w:val="center"/>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i w:val="0"/>
                <w:color w:val="FFFFFF"/>
                <w:sz w:val="14"/>
              </w:rPr>
              <w:t>Meaning</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CIF</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Celerity Investment Framework</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CPSR</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Celerity Portfolio State &amp; Resilience Research</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CMVTR</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Valuation, Volatility and the Price of Protection</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DCF</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discounted cash flow</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Owner FCF</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Owner Free Cash Flow</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FCFE</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free cash flow to equity</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OCF</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operating cash flow</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ROIC</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return on invested capital</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NPV</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net present value</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NIM</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net interest margin</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CET1</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Common Equity Tier 1</w:t>
            </w:r>
          </w:p>
        </w:tc>
      </w:tr>
      <w:tr>
        <w:trPr>
          <w:cantSplit/>
        </w:trPr>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TTV</w:t>
            </w:r>
          </w:p>
        </w:tc>
        <w:tc>
          <w:tcPr>
            <w:tcW w:type="dxa" w:w="5061"/>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total transaction value</w:t>
            </w:r>
          </w:p>
        </w:tc>
      </w:tr>
      <w:tr>
        <w:trPr>
          <w:cantSplit/>
        </w:trPr>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GMV</w:t>
            </w:r>
          </w:p>
        </w:tc>
        <w:tc>
          <w:tcPr>
            <w:tcW w:type="dxa" w:w="5061"/>
            <w:shd w:fill="F1F2F3"/>
            <w:tcMar>
              <w:top w:w="45" w:type="dxa"/>
              <w:start w:w="70" w:type="dxa"/>
              <w:bottom w:w="45" w:type="dxa"/>
              <w:end w:w="70" w:type="dxa"/>
            </w:tcMar>
            <w:vAlign w:val="top"/>
            <w:tcBorders>
              <w:top w:val="single" w:sz="4" w:color="D6DADD"/>
              <w:left w:val="single" w:sz="4" w:color="D6DADD"/>
              <w:bottom w:val="single" w:sz="4" w:color="D6DADD"/>
              <w:right w:val="single" w:sz="4" w:color="D6DADD"/>
            </w:tcBorders>
          </w:tcPr>
          <w:p>
            <w:pPr>
              <w:spacing w:before="0" w:after="0" w:line="240" w:lineRule="auto"/>
            </w:pPr>
            <w:r>
              <w:rPr>
                <w:rFonts w:ascii="Noto Serif" w:hAnsi="Noto Serif" w:eastAsia="Noto Serif"/>
                <w:b w:val="0"/>
                <w:i w:val="0"/>
                <w:color w:val="202428"/>
                <w:sz w:val="14"/>
              </w:rPr>
              <w:t>gross merchandise value</w:t>
            </w:r>
          </w:p>
        </w:tc>
      </w:tr>
    </w:tbl>
    <w:p>
      <w:pPr>
        <w:spacing w:after="0"/>
      </w:pPr>
    </w:p>
    <w:p>
      <w:pPr>
        <w:pStyle w:val="Heading1"/>
      </w:pPr>
      <w:r>
        <w:rPr>
          <w:rFonts w:ascii="Arimo" w:hAnsi="Arimo" w:eastAsia="Arimo"/>
          <w:b/>
          <w:i w:val="0"/>
          <w:color w:val="173F5F"/>
          <w:sz w:val="33"/>
        </w:rPr>
        <w:t>References and controlled Celerity sources</w:t>
      </w:r>
    </w:p>
    <w:p>
      <w:pPr>
        <w:pStyle w:val="SmallBody"/>
        <w:spacing w:after="28"/>
      </w:pPr>
      <w:r>
        <w:rPr>
          <w:rFonts w:ascii="Noto Serif" w:hAnsi="Noto Serif" w:eastAsia="Noto Serif"/>
          <w:b w:val="0"/>
          <w:i w:val="0"/>
          <w:color w:val="202428"/>
          <w:sz w:val="15"/>
        </w:rPr>
        <w:t>[1] Borness, S. (2026). Capability Science: Foundations. Celerity Research, Publication Edition v1.0.</w:t>
      </w:r>
    </w:p>
    <w:p>
      <w:pPr>
        <w:pStyle w:val="SmallBody"/>
        <w:spacing w:after="28"/>
      </w:pPr>
      <w:r>
        <w:rPr>
          <w:rFonts w:ascii="Noto Serif" w:hAnsi="Noto Serif" w:eastAsia="Noto Serif"/>
          <w:b w:val="0"/>
          <w:i w:val="0"/>
          <w:color w:val="202428"/>
          <w:sz w:val="15"/>
        </w:rPr>
        <w:t>[2] Borness, S. (2026). Capability Science: Applied Theory. Celerity Research, corrected publication edition.</w:t>
      </w:r>
    </w:p>
    <w:p>
      <w:pPr>
        <w:pStyle w:val="SmallBody"/>
        <w:spacing w:after="28"/>
      </w:pPr>
      <w:r>
        <w:rPr>
          <w:rFonts w:ascii="Noto Serif" w:hAnsi="Noto Serif" w:eastAsia="Noto Serif"/>
          <w:b w:val="0"/>
          <w:i w:val="0"/>
          <w:color w:val="202428"/>
          <w:sz w:val="15"/>
        </w:rPr>
        <w:t>[3] Celerity Research (2026). The Celerity Investment Framework: Capability, Value and Portfolio Decision Under Uncertainty, Publication Edition v1.2. Superseded by this v2.0 edition.</w:t>
      </w:r>
    </w:p>
    <w:p>
      <w:pPr>
        <w:pStyle w:val="SmallBody"/>
        <w:spacing w:after="28"/>
      </w:pPr>
      <w:r>
        <w:rPr>
          <w:rFonts w:ascii="Noto Serif" w:hAnsi="Noto Serif" w:eastAsia="Noto Serif"/>
          <w:b w:val="0"/>
          <w:i w:val="0"/>
          <w:color w:val="202428"/>
          <w:sz w:val="15"/>
        </w:rPr>
        <w:t>[4] Celerity Research (2026). Celerity Company Agent Architecture Taxonomy, v1.0, Frozen Top-Level Architecture.</w:t>
      </w:r>
    </w:p>
    <w:p>
      <w:pPr>
        <w:pStyle w:val="SmallBody"/>
        <w:spacing w:after="28"/>
      </w:pPr>
      <w:r>
        <w:rPr>
          <w:rFonts w:ascii="Noto Serif" w:hAnsi="Noto Serif" w:eastAsia="Noto Serif"/>
          <w:b w:val="0"/>
          <w:i w:val="0"/>
          <w:color w:val="202428"/>
          <w:sz w:val="15"/>
        </w:rPr>
        <w:t>[5] Celerity Research (2026). Celerity Portfolio State &amp; Resilience Research (CPSR), canonical methodology and controlled extensions.</w:t>
      </w:r>
    </w:p>
    <w:p>
      <w:pPr>
        <w:pStyle w:val="SmallBody"/>
        <w:spacing w:after="28"/>
      </w:pPr>
      <w:r>
        <w:rPr>
          <w:rFonts w:ascii="Noto Serif" w:hAnsi="Noto Serif" w:eastAsia="Noto Serif"/>
          <w:b w:val="0"/>
          <w:i w:val="0"/>
          <w:color w:val="202428"/>
          <w:sz w:val="15"/>
        </w:rPr>
        <w:t>[6] Celerity Research (2026). Capability Science for Investment Research: A Historical Validation Framework for Identifying Future Exceptional Long-Term Compounders, WP-001 Frozen v1.0; Technical Standards TS-001 to TS-003.</w:t>
      </w:r>
    </w:p>
    <w:p>
      <w:pPr>
        <w:pStyle w:val="SmallBody"/>
        <w:spacing w:after="28"/>
      </w:pPr>
      <w:r>
        <w:rPr>
          <w:rFonts w:ascii="Noto Serif" w:hAnsi="Noto Serif" w:eastAsia="Noto Serif"/>
          <w:b w:val="0"/>
          <w:i w:val="0"/>
          <w:color w:val="202428"/>
          <w:sz w:val="15"/>
        </w:rPr>
        <w:t>[7] Celerity Research (2026). Historical Company Assessment pilot series, HCA-001 to HCA-010. Pilot findings are not presented as completed statistical validation.</w:t>
      </w:r>
    </w:p>
    <w:p>
      <w:pPr>
        <w:pStyle w:val="SmallBody"/>
        <w:spacing w:after="28"/>
      </w:pPr>
      <w:r>
        <w:rPr>
          <w:rFonts w:ascii="Noto Serif" w:hAnsi="Noto Serif" w:eastAsia="Noto Serif"/>
          <w:b w:val="0"/>
          <w:i w:val="0"/>
          <w:color w:val="202428"/>
          <w:sz w:val="15"/>
        </w:rPr>
        <w:t>[8] Celerity Research (2026). Valuation, Volatility and the Price of Protection: The CMVTR Framework for Cyclical Equity Risk and Dynamic Portfolio Protection. Methodology Edition v1.0, Canonical Final.</w:t>
      </w:r>
    </w:p>
    <w:p>
      <w:pPr>
        <w:pStyle w:val="SmallBody"/>
        <w:spacing w:after="28"/>
      </w:pPr>
      <w:r>
        <w:rPr>
          <w:rFonts w:ascii="Noto Serif" w:hAnsi="Noto Serif" w:eastAsia="Noto Serif"/>
          <w:b w:val="0"/>
          <w:i w:val="0"/>
          <w:color w:val="202428"/>
          <w:sz w:val="15"/>
        </w:rPr>
        <w:t>[9] Celerity Research (2026). CMVTR Empirical Calibration Register, controlled working versions.</w:t>
      </w:r>
    </w:p>
    <w:p>
      <w:pPr>
        <w:pStyle w:val="SmallBody"/>
        <w:spacing w:after="28"/>
      </w:pPr>
      <w:r>
        <w:rPr>
          <w:rFonts w:ascii="Noto Serif" w:hAnsi="Noto Serif" w:eastAsia="Noto Serif"/>
          <w:b w:val="0"/>
          <w:i w:val="0"/>
          <w:color w:val="202428"/>
          <w:sz w:val="15"/>
        </w:rPr>
        <w:t>[10] Barney, J. (1991). Firm Resources and Sustained Competitive Advantage. Journal of Management, 17(1), 99-120.</w:t>
      </w:r>
    </w:p>
    <w:p>
      <w:pPr>
        <w:pStyle w:val="SmallBody"/>
        <w:spacing w:after="28"/>
      </w:pPr>
      <w:r>
        <w:rPr>
          <w:rFonts w:ascii="Noto Serif" w:hAnsi="Noto Serif" w:eastAsia="Noto Serif"/>
          <w:b w:val="0"/>
          <w:i w:val="0"/>
          <w:color w:val="202428"/>
          <w:sz w:val="15"/>
        </w:rPr>
        <w:t>[11] Teece, D.J., Pisano, G. and Shuen, A. (1997). Dynamic Capabilities and Strategic Management. Strategic Management Journal, 18(7), 509-533.</w:t>
      </w:r>
    </w:p>
    <w:p>
      <w:pPr>
        <w:pStyle w:val="SmallBody"/>
        <w:spacing w:after="28"/>
      </w:pPr>
      <w:r>
        <w:rPr>
          <w:rFonts w:ascii="Noto Serif" w:hAnsi="Noto Serif" w:eastAsia="Noto Serif"/>
          <w:b w:val="0"/>
          <w:i w:val="0"/>
          <w:color w:val="202428"/>
          <w:sz w:val="15"/>
        </w:rPr>
        <w:t>[12] Porter, M.E. (1980). Competitive Strategy; Porter, M.E. (1985). Competitive Advantage. Free Press.</w:t>
      </w:r>
    </w:p>
    <w:p>
      <w:pPr>
        <w:pStyle w:val="SmallBody"/>
        <w:spacing w:after="28"/>
      </w:pPr>
      <w:r>
        <w:rPr>
          <w:rFonts w:ascii="Noto Serif" w:hAnsi="Noto Serif" w:eastAsia="Noto Serif"/>
          <w:b w:val="0"/>
          <w:i w:val="0"/>
          <w:color w:val="202428"/>
          <w:sz w:val="15"/>
        </w:rPr>
        <w:t>[13] Kahneman, D., Sibony, O. and Sunstein, C.R. (2021). Noise: A Flaw in Human Judgment. Little, Brown Spark.</w:t>
      </w:r>
    </w:p>
    <w:p>
      <w:pPr>
        <w:pStyle w:val="SmallBody"/>
        <w:spacing w:after="28"/>
      </w:pPr>
      <w:r>
        <w:rPr>
          <w:rFonts w:ascii="Noto Serif" w:hAnsi="Noto Serif" w:eastAsia="Noto Serif"/>
          <w:b w:val="0"/>
          <w:i w:val="0"/>
          <w:color w:val="202428"/>
          <w:sz w:val="15"/>
        </w:rPr>
        <w:t>[14] Tetlock, P.E. and Gardner, D. (2015). Superforecasting: The Art and Science of Prediction. Crown.</w:t>
      </w:r>
    </w:p>
    <w:p>
      <w:pPr>
        <w:pStyle w:val="SmallBody"/>
        <w:spacing w:after="28"/>
      </w:pPr>
      <w:r>
        <w:rPr>
          <w:rFonts w:ascii="Noto Serif" w:hAnsi="Noto Serif" w:eastAsia="Noto Serif"/>
          <w:b w:val="0"/>
          <w:i w:val="0"/>
          <w:color w:val="202428"/>
          <w:sz w:val="15"/>
        </w:rPr>
        <w:t>[15] Andersen, T.G., Bollerslev, T., Diebold, F.X. and Labys, P. (2003). Modeling and Forecasting Realized Volatility. Econometrica, 71(2), 579-625.</w:t>
      </w:r>
    </w:p>
    <w:p>
      <w:pPr>
        <w:pStyle w:val="SmallBody"/>
        <w:spacing w:after="28"/>
      </w:pPr>
      <w:r>
        <w:rPr>
          <w:rFonts w:ascii="Noto Serif" w:hAnsi="Noto Serif" w:eastAsia="Noto Serif"/>
          <w:b w:val="0"/>
          <w:i w:val="0"/>
          <w:color w:val="202428"/>
          <w:sz w:val="15"/>
        </w:rPr>
        <w:t>[16] Corsi, F. (2009). A Simple Approximate Long-Memory Model of Realized Volatility. Journal of Financial Econometrics, 7(2), 174-196.</w:t>
      </w:r>
    </w:p>
    <w:p>
      <w:pPr>
        <w:pStyle w:val="SmallBody"/>
        <w:spacing w:after="28"/>
      </w:pPr>
      <w:r>
        <w:rPr>
          <w:rFonts w:ascii="Noto Serif" w:hAnsi="Noto Serif" w:eastAsia="Noto Serif"/>
          <w:b w:val="0"/>
          <w:i w:val="0"/>
          <w:color w:val="202428"/>
          <w:sz w:val="15"/>
        </w:rPr>
        <w:t>[17] Barndorff-Nielsen, O.E., Kinnebrock, S. and Shephard, N. (2010). Measuring Downside Risk: Realised Semivariance. In Volatility and Time Series Econometrics. Oxford University Press.</w:t>
      </w:r>
    </w:p>
    <w:p>
      <w:pPr>
        <w:pStyle w:val="SmallBody"/>
        <w:spacing w:after="28"/>
      </w:pPr>
      <w:r>
        <w:rPr>
          <w:rFonts w:ascii="Noto Serif" w:hAnsi="Noto Serif" w:eastAsia="Noto Serif"/>
          <w:b w:val="0"/>
          <w:i w:val="0"/>
          <w:color w:val="202428"/>
          <w:sz w:val="15"/>
        </w:rPr>
        <w:t>[18] Bollerslev, T., Tauchen, G. and Zhou, H. (2009). Expected Stock Returns and Variance Risk Premia. Review of Financial Studies, 22(11), 4463-4492.</w:t>
      </w:r>
    </w:p>
    <w:p>
      <w:pPr>
        <w:pStyle w:val="Heading2"/>
      </w:pPr>
      <w:r>
        <w:rPr>
          <w:rFonts w:ascii="Arimo" w:hAnsi="Arimo" w:eastAsia="Arimo"/>
          <w:b/>
          <w:i w:val="0"/>
          <w:color w:val="173F5F"/>
          <w:sz w:val="23"/>
        </w:rPr>
        <w:t>Research disclaimer</w:t>
      </w:r>
    </w:p>
    <w:p>
      <w:pPr>
        <w:spacing w:before="0" w:after="80" w:line="250" w:lineRule="auto"/>
      </w:pPr>
      <w:r>
        <w:rPr>
          <w:rFonts w:ascii="Noto Serif" w:hAnsi="Noto Serif" w:eastAsia="Noto Serif"/>
          <w:b w:val="0"/>
          <w:i w:val="0"/>
          <w:color w:val="202428"/>
          <w:sz w:val="18"/>
        </w:rPr>
        <w:t>This publication contains general research and analytical methodology only. It is not personal financial advice, investment advice, a recommendation to buy or sell any security or financial product, or a representation that any historical or modelled outcome will recur. Company-specific forecasts and valuations published by Celerity are analytical estimates and may differ materially from realised outcomes. The framework is designed to make uncertainty, assumptions and decision conditions explicit; it cannot eliminate model risk, market risk or human judgment error.</w:t>
      </w:r>
    </w:p>
    <w:p>
      <w:pPr>
        <w:spacing w:before="160" w:after="0" w:line="240" w:lineRule="auto"/>
        <w:jc w:val="center"/>
      </w:pPr>
      <w:r>
        <w:rPr>
          <w:rFonts w:ascii="Noto Serif" w:hAnsi="Noto Serif" w:eastAsia="Noto Serif"/>
          <w:b/>
          <w:i w:val="0"/>
          <w:color w:val="8A6A12"/>
          <w:sz w:val="14"/>
        </w:rPr>
        <w:t>Publication Edition v2.0  |  1 September 2026  |  Celerity Investments Pty Ltd  |  Celerity Research</w:t>
      </w:r>
    </w:p>
    <w:sectPr w:rsidR="00FC693F" w:rsidRPr="0006063C" w:rsidSect="00034616">
      <w:headerReference w:type="first" r:id="rId9"/>
      <w:headerReference w:type="default" r:id="rId10"/>
      <w:footerReference w:type="default" r:id="rId11"/>
      <w:footerReference w:type="first" r:id="rId12"/>
      <w:pgSz w:w="11909" w:h="16834"/>
      <w:pgMar w:top="835" w:right="893" w:bottom="893" w:left="893" w:header="259" w:footer="331"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erif" w:hAnsi="Noto Serif" w:eastAsia="Noto Serif"/>
        <w:b w:val="0"/>
        <w:i w:val="0"/>
        <w:color w:val="7A7A7A"/>
        <w:sz w:val="12"/>
      </w:rPr>
      <w:t xml:space="preserve">Celerity Research  |  Celerity Investment Framework  |  Page </w:t>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erif" w:hAnsi="Noto Serif" w:eastAsia="Noto Serif"/>
        <w:b w:val="0"/>
        <w:i w:val="0"/>
        <w:color w:val="7A7A7A"/>
        <w:sz w:val="12"/>
      </w:rPr>
      <w:t xml:space="preserve">Celerity Research  |  Celerity Investment Framework  |  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Borders>
            <w:top w:val="nil"/>
            <w:left w:val="nil"/>
            <w:bottom w:val="nil"/>
            <w:right w:val="nil"/>
          </w:tcBorders>
          <w:tcMar>
            <w:top w:w="0" w:type="dxa"/>
            <w:start w:w="0" w:type="dxa"/>
            <w:bottom w:w="0" w:type="dxa"/>
            <w:end w:w="0" w:type="dxa"/>
          </w:tcMar>
        </w:tcPr>
        <w:p>
          <w:pPr>
            <w:jc w:val="left"/>
          </w:pPr>
          <w:r>
            <w:rPr>
              <w:rFonts w:ascii="Noto Serif" w:hAnsi="Noto Serif" w:eastAsia="Noto Serif"/>
              <w:b/>
              <w:i w:val="0"/>
              <w:color w:val="8A6A12"/>
              <w:sz w:val="14"/>
            </w:rPr>
            <w:t>CELERITY RESEARCH</w:t>
          </w:r>
        </w:p>
      </w:tc>
      <w:tc>
        <w:tcPr>
          <w:tcW w:type="dxa" w:w="5040"/>
          <w:tcBorders>
            <w:top w:val="nil"/>
            <w:left w:val="nil"/>
            <w:bottom w:val="nil"/>
            <w:right w:val="nil"/>
          </w:tcBorders>
          <w:tcMar>
            <w:top w:w="0" w:type="dxa"/>
            <w:start w:w="0" w:type="dxa"/>
            <w:bottom w:w="0" w:type="dxa"/>
            <w:end w:w="0" w:type="dxa"/>
          </w:tcMar>
        </w:tcPr>
        <w:p>
          <w:pPr>
            <w:jc w:val="right"/>
          </w:pPr>
          <w:r>
            <w:rPr>
              <w:rFonts w:ascii="Noto Serif" w:hAnsi="Noto Serif" w:eastAsia="Noto Serif"/>
              <w:b/>
              <w:i w:val="0"/>
              <w:color w:val="8A6A12"/>
              <w:sz w:val="14"/>
            </w:rPr>
            <w:t>CELERITY RESEARCH  |  INVESTMENT FRAMEWORK</w:t>
          </w:r>
        </w:p>
      </w:tc>
    </w:tr>
  </w:tbl>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right"/>
    </w:pPr>
    <w:r>
      <w:rPr>
        <w:rFonts w:ascii="Noto Serif" w:hAnsi="Noto Serif" w:eastAsia="Noto Serif"/>
        <w:b/>
        <w:i w:val="0"/>
        <w:color w:val="8A6A12"/>
        <w:sz w:val="13"/>
      </w:rPr>
      <w:t>CELERITY RESEARCH  |  INVESTMENT FRAMEWORK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0" w:lineRule="auto"/>
    </w:pPr>
    <w:rPr>
      <w:rFonts w:ascii="Noto Serif" w:hAnsi="Noto Serif"/>
      <w:color w:val="2024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rimo" w:hAnsi="Arimo"/>
      <w:b/>
      <w:bCs/>
      <w:color w:val="173F5F"/>
      <w:sz w:val="33"/>
      <w:szCs w:val="28"/>
    </w:rPr>
  </w:style>
  <w:style w:type="paragraph" w:styleId="Heading2">
    <w:name w:val="heading 2"/>
    <w:basedOn w:val="Normal"/>
    <w:next w:val="Normal"/>
    <w:link w:val="Heading2Char"/>
    <w:uiPriority w:val="9"/>
    <w:unhideWhenUsed/>
    <w:qFormat/>
    <w:rsid w:val="00FC693F"/>
    <w:pPr>
      <w:keepNext/>
      <w:keepLines/>
      <w:spacing w:before="140" w:after="50"/>
      <w:outlineLvl w:val="1"/>
    </w:pPr>
    <w:rPr>
      <w:rFonts w:asciiTheme="majorHAnsi" w:eastAsiaTheme="majorEastAsia" w:hAnsiTheme="majorHAnsi" w:cstheme="majorBidi" w:ascii="Arimo" w:hAnsi="Arimo"/>
      <w:b/>
      <w:bCs/>
      <w:color w:val="173F5F"/>
      <w:sz w:val="23"/>
      <w:szCs w:val="26"/>
    </w:rPr>
  </w:style>
  <w:style w:type="paragraph" w:styleId="Heading3">
    <w:name w:val="heading 3"/>
    <w:basedOn w:val="Normal"/>
    <w:next w:val="Normal"/>
    <w:link w:val="Heading3Char"/>
    <w:uiPriority w:val="9"/>
    <w:unhideWhenUsed/>
    <w:qFormat/>
    <w:rsid w:val="00FC693F"/>
    <w:pPr>
      <w:keepNext/>
      <w:keepLines/>
      <w:spacing w:before="100" w:after="40"/>
      <w:outlineLvl w:val="2"/>
    </w:pPr>
    <w:rPr>
      <w:rFonts w:asciiTheme="majorHAnsi" w:eastAsiaTheme="majorEastAsia" w:hAnsiTheme="majorHAnsi" w:cstheme="majorBidi" w:ascii="Arimo" w:hAnsi="Arimo"/>
      <w:b/>
      <w:bCs/>
      <w:color w:val="173F5F"/>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Body">
    <w:name w:val="Small Body"/>
    <w:basedOn w:val="Normal"/>
    <w:pPr>
      <w:spacing w:after="50" w:line="240" w:lineRule="auto"/>
    </w:pPr>
    <w:rPr>
      <w:rFonts w:ascii="Noto Serif" w:hAnsi="Noto Serif"/>
      <w:color w:val="202428"/>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Celerity Investment Framework</dc:title>
  <dc:subject>Capability, Value and Portfolio Decision Under Uncertainty</dc:subject>
  <dc:creator>Celerity Research</dc:creator>
  <cp:keywords/>
  <dc:description>Publication Edition v2.0; visual architecture restored to Publication Edition v1.2 house style without substantive rewrite.</dc:description>
  <cp:lastModifiedBy/>
  <cp:revision>1</cp:revision>
  <dcterms:created xsi:type="dcterms:W3CDTF">2013-12-23T23:15:00Z</dcterms:created>
  <dcterms:modified xsi:type="dcterms:W3CDTF">2013-12-23T23:15:00Z</dcterms:modified>
  <cp:category/>
</cp:coreProperties>
</file>